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6A225EBD"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#1</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60E265CB"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193CC6">
              <w:rPr>
                <w:noProof/>
                <w:webHidden/>
              </w:rPr>
              <w:t>3</w:t>
            </w:r>
            <w:r w:rsidR="009405B3">
              <w:rPr>
                <w:noProof/>
                <w:webHidden/>
              </w:rPr>
              <w:fldChar w:fldCharType="end"/>
            </w:r>
          </w:hyperlink>
        </w:p>
        <w:p w14:paraId="11049ECC" w14:textId="2F2235B8"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193CC6">
              <w:rPr>
                <w:noProof/>
                <w:webHidden/>
              </w:rPr>
              <w:t>4</w:t>
            </w:r>
            <w:r w:rsidR="009405B3">
              <w:rPr>
                <w:noProof/>
                <w:webHidden/>
              </w:rPr>
              <w:fldChar w:fldCharType="end"/>
            </w:r>
          </w:hyperlink>
        </w:p>
        <w:p w14:paraId="794CBEFD" w14:textId="77FF666E"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193CC6">
              <w:rPr>
                <w:noProof/>
                <w:webHidden/>
              </w:rPr>
              <w:t>5</w:t>
            </w:r>
            <w:r w:rsidR="009405B3">
              <w:rPr>
                <w:noProof/>
                <w:webHidden/>
              </w:rPr>
              <w:fldChar w:fldCharType="end"/>
            </w:r>
          </w:hyperlink>
        </w:p>
        <w:p w14:paraId="1047E9AC" w14:textId="2ECA1550"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193CC6">
              <w:rPr>
                <w:noProof/>
                <w:webHidden/>
              </w:rPr>
              <w:t>10</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77777777"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Pr>
          <w:rFonts w:ascii="Arial Narrow" w:hAnsi="Arial Narrow"/>
          <w:sz w:val="22"/>
          <w:szCs w:val="22"/>
        </w:rPr>
        <w:t>November 4, 2020</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0D263F51" w14:textId="62B52ED9" w:rsidR="00D54A45" w:rsidRPr="00D54A45" w:rsidRDefault="00966908" w:rsidP="008E3A04">
      <w:pPr>
        <w:rPr>
          <w:rFonts w:ascii="Arial Narrow" w:hAnsi="Arial Narrow"/>
          <w:sz w:val="22"/>
          <w:szCs w:val="22"/>
        </w:rPr>
      </w:pPr>
      <w:r w:rsidRPr="00B24E6C">
        <w:rPr>
          <w:rFonts w:ascii="Arial Narrow" w:hAnsi="Arial Narrow"/>
          <w:b/>
          <w:sz w:val="22"/>
          <w:szCs w:val="22"/>
          <w:u w:val="single"/>
        </w:rPr>
        <w:t>MH</w:t>
      </w:r>
      <w:r w:rsidR="00D54A45">
        <w:rPr>
          <w:rFonts w:ascii="Arial Narrow" w:hAnsi="Arial Narrow"/>
          <w:b/>
          <w:sz w:val="22"/>
          <w:szCs w:val="22"/>
          <w:u w:val="single"/>
        </w:rPr>
        <w:t>HMA</w:t>
      </w:r>
      <w:r w:rsidRPr="00B24E6C">
        <w:rPr>
          <w:rFonts w:ascii="Arial Narrow" w:hAnsi="Arial Narrow"/>
          <w:b/>
          <w:sz w:val="22"/>
          <w:szCs w:val="22"/>
          <w:u w:val="single"/>
        </w:rPr>
        <w:t xml:space="preserve"> – </w:t>
      </w:r>
      <w:r w:rsidR="00D54A45" w:rsidRPr="00D54A45">
        <w:rPr>
          <w:rFonts w:ascii="Arial Narrow" w:hAnsi="Arial Narrow"/>
          <w:b/>
          <w:sz w:val="22"/>
          <w:szCs w:val="22"/>
          <w:u w:val="single"/>
        </w:rPr>
        <w:t>ME FL Hurricane Michael Response-ME Operational</w:t>
      </w:r>
      <w:r w:rsidRPr="00B24E6C">
        <w:rPr>
          <w:rFonts w:ascii="Arial Narrow" w:hAnsi="Arial Narrow"/>
          <w:sz w:val="22"/>
          <w:szCs w:val="22"/>
        </w:rPr>
        <w:t xml:space="preserve"> – </w:t>
      </w:r>
      <w:r w:rsidR="00D54A45" w:rsidRPr="00D54A45">
        <w:rPr>
          <w:rFonts w:ascii="Arial Narrow" w:hAnsi="Arial Narrow"/>
          <w:sz w:val="22"/>
          <w:szCs w:val="22"/>
        </w:rPr>
        <w:t>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w:t>
      </w:r>
      <w:r w:rsidR="00D54A45">
        <w:rPr>
          <w:rFonts w:ascii="Arial Narrow" w:hAnsi="Arial Narrow"/>
          <w:sz w:val="22"/>
          <w:szCs w:val="22"/>
        </w:rPr>
        <w:t xml:space="preserve"> </w:t>
      </w:r>
      <w:r w:rsidR="00D54A45" w:rsidRPr="00D54A45">
        <w:rPr>
          <w:rFonts w:ascii="Arial Narrow" w:hAnsi="Arial Narrow"/>
          <w:sz w:val="22"/>
          <w:szCs w:val="22"/>
        </w:rPr>
        <w:t xml:space="preserve">effect. </w:t>
      </w:r>
    </w:p>
    <w:p w14:paraId="0F57B004" w14:textId="77777777" w:rsidR="00D54A45" w:rsidRPr="00D54A45" w:rsidRDefault="00D54A45" w:rsidP="008E3A04">
      <w:pPr>
        <w:rPr>
          <w:rFonts w:ascii="Arial Narrow" w:hAnsi="Arial Narrow"/>
          <w:sz w:val="22"/>
          <w:szCs w:val="22"/>
        </w:rPr>
      </w:pPr>
    </w:p>
    <w:p w14:paraId="63C546BA" w14:textId="76D93F2E" w:rsidR="00407CF5" w:rsidRDefault="00D54A45" w:rsidP="008E3A04">
      <w:pPr>
        <w:rPr>
          <w:rFonts w:ascii="Arial Narrow" w:hAnsi="Arial Narrow"/>
          <w:sz w:val="22"/>
          <w:szCs w:val="22"/>
        </w:rPr>
      </w:pPr>
      <w:r w:rsidRPr="00D54A45">
        <w:rPr>
          <w:rFonts w:ascii="Arial Narrow" w:hAnsi="Arial Narrow"/>
          <w:sz w:val="22"/>
          <w:szCs w:val="22"/>
        </w:rPr>
        <w:t>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w:t>
      </w:r>
      <w:r w:rsidR="00966908" w:rsidRPr="00B24E6C">
        <w:rPr>
          <w:rFonts w:ascii="Arial Narrow" w:hAnsi="Arial Narrow"/>
          <w:sz w:val="22"/>
          <w:szCs w:val="22"/>
        </w:rPr>
        <w:t>.</w:t>
      </w:r>
      <w:r w:rsidR="00350D91">
        <w:rPr>
          <w:rFonts w:ascii="Arial Narrow" w:hAnsi="Arial Narrow"/>
          <w:sz w:val="22"/>
          <w:szCs w:val="22"/>
        </w:rPr>
        <w:t xml:space="preserve"> </w:t>
      </w:r>
    </w:p>
    <w:p w14:paraId="0759C286" w14:textId="19883712" w:rsidR="00E57D80" w:rsidRDefault="00E57D80" w:rsidP="008E3A04">
      <w:pPr>
        <w:rPr>
          <w:rFonts w:ascii="Arial Narrow" w:hAnsi="Arial Narrow"/>
          <w:sz w:val="22"/>
          <w:szCs w:val="22"/>
        </w:rPr>
      </w:pPr>
    </w:p>
    <w:p w14:paraId="0D27CDD2" w14:textId="22983C72" w:rsidR="00E57D80" w:rsidRPr="00E57D80" w:rsidRDefault="00E57D80" w:rsidP="00E57D80">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311151CF" w14:textId="4553A72C" w:rsidR="00E57D80" w:rsidRPr="00E57D80" w:rsidRDefault="00E57D80" w:rsidP="00E57D80">
      <w:pPr>
        <w:rPr>
          <w:rFonts w:ascii="Arial Narrow" w:hAnsi="Arial Narrow"/>
          <w:sz w:val="22"/>
          <w:szCs w:val="22"/>
        </w:rPr>
      </w:pPr>
      <w:r w:rsidRPr="00E57D80">
        <w:rPr>
          <w:rFonts w:ascii="Arial Narrow" w:hAnsi="Arial Narrow"/>
          <w:sz w:val="22"/>
          <w:szCs w:val="22"/>
        </w:rPr>
        <w:t xml:space="preserve">assessment, including incentives for participating in the required data collection follow-up. Funds may not be used </w:t>
      </w:r>
    </w:p>
    <w:p w14:paraId="007C41B4" w14:textId="77777777" w:rsidR="00E57D80" w:rsidRPr="00E57D80" w:rsidRDefault="00E57D80" w:rsidP="00E57D80">
      <w:pPr>
        <w:rPr>
          <w:rFonts w:ascii="Arial Narrow" w:hAnsi="Arial Narrow"/>
          <w:sz w:val="22"/>
          <w:szCs w:val="22"/>
        </w:rPr>
      </w:pPr>
      <w:r w:rsidRPr="00E57D80">
        <w:rPr>
          <w:rFonts w:ascii="Arial Narrow" w:hAnsi="Arial Narrow"/>
          <w:sz w:val="22"/>
          <w:szCs w:val="22"/>
        </w:rPr>
        <w:t xml:space="preserve">to: </w:t>
      </w:r>
    </w:p>
    <w:p w14:paraId="5547E181" w14:textId="77777777" w:rsidR="00E57D80" w:rsidRDefault="00E57D80" w:rsidP="0047378B">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3F1BBAFD" w14:textId="77777777" w:rsidR="00E57D80" w:rsidRDefault="00E57D80" w:rsidP="00C37C20">
      <w:pPr>
        <w:pStyle w:val="ListParagraph"/>
        <w:numPr>
          <w:ilvl w:val="0"/>
          <w:numId w:val="1"/>
        </w:numPr>
        <w:rPr>
          <w:rFonts w:ascii="Arial Narrow" w:hAnsi="Arial Narrow"/>
        </w:rPr>
      </w:pPr>
      <w:r w:rsidRPr="00E57D80">
        <w:rPr>
          <w:rFonts w:ascii="Arial Narrow" w:hAnsi="Arial Narrow"/>
        </w:rPr>
        <w:t xml:space="preserve">Pay for promotional items; </w:t>
      </w:r>
    </w:p>
    <w:p w14:paraId="6572DE46" w14:textId="77777777" w:rsidR="00E57D80" w:rsidRDefault="00E57D80" w:rsidP="001A0DF3">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113F1C0A" w14:textId="77777777" w:rsidR="00E57D80" w:rsidRDefault="00E57D80" w:rsidP="00116471">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45493505" w14:textId="1516A23E" w:rsidR="00E57D80" w:rsidRPr="00A32D44" w:rsidRDefault="00E57D80" w:rsidP="00E57D80">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sidR="00D470E2">
        <w:rPr>
          <w:rFonts w:ascii="Arial Narrow" w:hAnsi="Arial Narrow" w:cs="Arial"/>
        </w:rPr>
        <w:t>;</w:t>
      </w:r>
      <w:r w:rsidR="00D470E2" w:rsidRPr="00A32D44">
        <w:rPr>
          <w:rFonts w:ascii="Arial Narrow" w:hAnsi="Arial Narrow" w:cs="Arial"/>
        </w:rPr>
        <w:t xml:space="preserve">  </w:t>
      </w:r>
    </w:p>
    <w:p w14:paraId="2483EC57" w14:textId="5B142787" w:rsidR="00E57D80"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E57D80" w:rsidRPr="00A32D44">
        <w:rPr>
          <w:rFonts w:ascii="Arial Narrow" w:hAnsi="Arial Narrow" w:cs="Arial"/>
        </w:rPr>
        <w:t>ay for construction or purchase of structures</w:t>
      </w:r>
      <w:r w:rsidR="00D470E2">
        <w:rPr>
          <w:rFonts w:ascii="Arial Narrow" w:hAnsi="Arial Narrow" w:cs="Arial"/>
        </w:rPr>
        <w:t>;</w:t>
      </w:r>
      <w:r w:rsidR="00D470E2" w:rsidRPr="00A32D44">
        <w:rPr>
          <w:rFonts w:ascii="Arial Narrow" w:hAnsi="Arial Narrow" w:cs="Arial"/>
        </w:rPr>
        <w:t xml:space="preserve"> </w:t>
      </w:r>
    </w:p>
    <w:p w14:paraId="0CE6CA2B" w14:textId="7A78109D" w:rsidR="00D452D1" w:rsidRPr="00A32D44"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D452D1">
        <w:rPr>
          <w:rFonts w:ascii="Arial Narrow" w:hAnsi="Arial Narrow" w:cs="Arial"/>
        </w:rPr>
        <w:t>ay for meals</w:t>
      </w:r>
      <w:r w:rsidR="00D470E2">
        <w:rPr>
          <w:rFonts w:ascii="Arial Narrow" w:hAnsi="Arial Narrow" w:cs="Arial"/>
        </w:rPr>
        <w:t>;</w:t>
      </w:r>
    </w:p>
    <w:p w14:paraId="740E922E" w14:textId="6D44C01C" w:rsidR="00E57D80" w:rsidRPr="00A32D44"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E57D80" w:rsidRPr="00A32D44">
        <w:rPr>
          <w:rFonts w:ascii="Arial Narrow" w:hAnsi="Arial Narrow" w:cs="Arial"/>
        </w:rPr>
        <w:t xml:space="preserve">ay the salary of an individual at a rate in excess of </w:t>
      </w:r>
      <w:r w:rsidR="00E57D80" w:rsidRPr="00A32D44">
        <w:rPr>
          <w:rFonts w:ascii="Arial Narrow" w:hAnsi="Arial Narrow"/>
        </w:rPr>
        <w:t xml:space="preserve">Level II of the Executive Schedule, published by the U.S. Office of Personnel Management at: </w:t>
      </w:r>
      <w:hyperlink r:id="rId8" w:history="1">
        <w:r w:rsidR="00D470E2" w:rsidRPr="00A32D44">
          <w:rPr>
            <w:rStyle w:val="Hyperlink"/>
            <w:rFonts w:ascii="Arial Narrow" w:hAnsi="Arial Narrow"/>
          </w:rPr>
          <w:t>https://www.opm.gov/policy-data-oversight/pay-leave/salaries-wages/</w:t>
        </w:r>
      </w:hyperlink>
      <w:r w:rsidR="00D470E2">
        <w:rPr>
          <w:rFonts w:ascii="Arial Narrow" w:hAnsi="Arial Narrow" w:cs="Arial"/>
        </w:rPr>
        <w:t>; and</w:t>
      </w:r>
      <w:r w:rsidR="00D470E2" w:rsidRPr="00A32D44">
        <w:rPr>
          <w:rFonts w:ascii="Arial Narrow" w:hAnsi="Arial Narrow" w:cs="Arial"/>
        </w:rPr>
        <w:t xml:space="preserve"> </w:t>
      </w:r>
    </w:p>
    <w:p w14:paraId="19B55D59" w14:textId="018AEC4F" w:rsidR="00E57D80" w:rsidRPr="00E57D80" w:rsidRDefault="00205285" w:rsidP="00E57D80">
      <w:pPr>
        <w:pStyle w:val="ListParagraph"/>
        <w:numPr>
          <w:ilvl w:val="0"/>
          <w:numId w:val="1"/>
        </w:numPr>
        <w:rPr>
          <w:rFonts w:ascii="Arial Narrow" w:hAnsi="Arial Narrow"/>
        </w:rPr>
      </w:pPr>
      <w:r>
        <w:rPr>
          <w:rFonts w:ascii="Arial Narrow" w:hAnsi="Arial Narrow" w:cs="Arial"/>
        </w:rPr>
        <w:t>S</w:t>
      </w:r>
      <w:r w:rsidR="00E57D80" w:rsidRPr="00A32D44">
        <w:rPr>
          <w:rFonts w:ascii="Arial Narrow" w:hAnsi="Arial Narrow" w:cs="Arial"/>
        </w:rPr>
        <w:t>upplant (or replace) current funding of existing services</w:t>
      </w:r>
      <w:r w:rsidR="00E57D80" w:rsidRPr="00E57D80">
        <w:rPr>
          <w:rFonts w:ascii="Arial Narrow" w:hAnsi="Arial Narrow"/>
        </w:rPr>
        <w:t>.</w:t>
      </w:r>
    </w:p>
    <w:p w14:paraId="2237460F" w14:textId="1458AFBB" w:rsidR="00416958" w:rsidRPr="00617795" w:rsidRDefault="00416958" w:rsidP="008E3A04">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3223E2A9" w14:textId="5E899C80" w:rsidR="008922A0" w:rsidRPr="00A32D44" w:rsidRDefault="008922A0" w:rsidP="00414074">
      <w:pPr>
        <w:rPr>
          <w:rFonts w:ascii="Arial Narrow" w:hAnsi="Arial Narrow"/>
          <w:sz w:val="22"/>
          <w:szCs w:val="22"/>
        </w:rPr>
      </w:pPr>
      <w:r w:rsidRPr="00A32D44">
        <w:rPr>
          <w:rFonts w:ascii="Arial Narrow" w:hAnsi="Arial Narrow"/>
          <w:b/>
          <w:sz w:val="22"/>
          <w:szCs w:val="22"/>
          <w:u w:val="single"/>
        </w:rPr>
        <w:t>MSSA</w:t>
      </w:r>
      <w:r w:rsidR="008E3A04">
        <w:rPr>
          <w:rFonts w:ascii="Arial Narrow" w:hAnsi="Arial Narrow"/>
          <w:b/>
          <w:sz w:val="22"/>
          <w:szCs w:val="22"/>
          <w:u w:val="single"/>
        </w:rPr>
        <w:t>3</w:t>
      </w:r>
      <w:r w:rsidRPr="00A32D44">
        <w:rPr>
          <w:rFonts w:ascii="Arial Narrow" w:hAnsi="Arial Narrow"/>
          <w:b/>
          <w:sz w:val="22"/>
          <w:szCs w:val="22"/>
          <w:u w:val="single"/>
        </w:rPr>
        <w:t xml:space="preserve"> - ME State Opioid Response Disc Grant Admin</w:t>
      </w:r>
      <w:r w:rsidRPr="00A32D44">
        <w:rPr>
          <w:rFonts w:ascii="Arial Narrow" w:hAnsi="Arial Narrow"/>
          <w:sz w:val="22"/>
          <w:szCs w:val="22"/>
          <w:u w:val="single"/>
        </w:rPr>
        <w:t xml:space="preserve"> </w:t>
      </w:r>
      <w:r w:rsidRPr="00A32D44">
        <w:rPr>
          <w:rFonts w:ascii="Arial Narrow" w:hAnsi="Arial Narrow"/>
          <w:b/>
          <w:sz w:val="22"/>
          <w:szCs w:val="22"/>
          <w:u w:val="single"/>
        </w:rPr>
        <w:t xml:space="preserve">– Year </w:t>
      </w:r>
      <w:r w:rsidR="008E3A04">
        <w:rPr>
          <w:rFonts w:ascii="Arial Narrow" w:hAnsi="Arial Narrow"/>
          <w:b/>
          <w:sz w:val="22"/>
          <w:szCs w:val="22"/>
          <w:u w:val="single"/>
        </w:rPr>
        <w:t>3</w:t>
      </w:r>
      <w:r w:rsidR="00916FF3" w:rsidRPr="00354B21">
        <w:rPr>
          <w:rFonts w:ascii="Arial Narrow" w:hAnsi="Arial Narrow"/>
          <w:sz w:val="22"/>
          <w:szCs w:val="22"/>
        </w:rPr>
        <w:t xml:space="preserve"> </w:t>
      </w:r>
      <w:r w:rsidRPr="00A32D44">
        <w:rPr>
          <w:rFonts w:ascii="Arial Narrow" w:hAnsi="Arial Narrow"/>
          <w:sz w:val="22"/>
          <w:szCs w:val="22"/>
        </w:rPr>
        <w:t>–</w:t>
      </w:r>
      <w:r w:rsidR="00414074" w:rsidRPr="00A32D44">
        <w:rPr>
          <w:rFonts w:ascii="Arial Narrow" w:hAnsi="Arial Narrow"/>
          <w:sz w:val="22"/>
          <w:szCs w:val="22"/>
        </w:rPr>
        <w:t xml:space="preserve"> This cost pool </w:t>
      </w:r>
      <w:r w:rsidR="00C74E85" w:rsidRPr="00C74E85">
        <w:rPr>
          <w:rFonts w:ascii="Arial Narrow" w:hAnsi="Arial Narrow"/>
          <w:sz w:val="22"/>
          <w:szCs w:val="22"/>
        </w:rPr>
        <w:t>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75C6D87B" w14:textId="77777777" w:rsidR="003750D6" w:rsidRPr="00A32D44" w:rsidRDefault="003750D6" w:rsidP="003750D6">
      <w:pPr>
        <w:rPr>
          <w:rFonts w:ascii="Arial Narrow" w:hAnsi="Arial Narrow"/>
          <w:i/>
          <w:sz w:val="22"/>
          <w:szCs w:val="22"/>
        </w:rPr>
      </w:pPr>
    </w:p>
    <w:p w14:paraId="776DC2B0" w14:textId="77777777" w:rsidR="003750D6" w:rsidRPr="00A32D44" w:rsidRDefault="003750D6" w:rsidP="003750D6">
      <w:pPr>
        <w:rPr>
          <w:rFonts w:ascii="Arial Narrow" w:hAnsi="Arial Narrow" w:cs="Arial"/>
          <w:sz w:val="22"/>
          <w:szCs w:val="22"/>
        </w:rPr>
      </w:pPr>
      <w:bookmarkStart w:id="2" w:name="_Hlk17283902"/>
      <w:r w:rsidRPr="00A32D44">
        <w:rPr>
          <w:rFonts w:ascii="Arial Narrow" w:hAnsi="Arial Narrow" w:cs="Arial"/>
          <w:sz w:val="22"/>
          <w:szCs w:val="22"/>
        </w:rPr>
        <w:t xml:space="preserve">State Opioid Response funds may not be used for the following purposes: </w:t>
      </w:r>
    </w:p>
    <w:p w14:paraId="48D2CC0E"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Make direct payments to individuals to enter treatment or continue to participate in prevention or treatment services.  </w:t>
      </w:r>
    </w:p>
    <w:p w14:paraId="59EB0123"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for construction or purchase of structures. </w:t>
      </w:r>
    </w:p>
    <w:p w14:paraId="27978391"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the salary of an individual at a rate in excess of </w:t>
      </w:r>
      <w:r w:rsidRPr="00A32D44">
        <w:rPr>
          <w:rFonts w:ascii="Arial Narrow" w:hAnsi="Arial Narrow"/>
        </w:rPr>
        <w:t xml:space="preserve">Level II of the Executive Schedule, published by the U.S. Office of Personnel Management at: </w:t>
      </w:r>
      <w:hyperlink r:id="rId9" w:history="1">
        <w:r w:rsidRPr="00A32D44">
          <w:rPr>
            <w:rStyle w:val="Hyperlink"/>
            <w:rFonts w:ascii="Arial Narrow" w:hAnsi="Arial Narrow"/>
          </w:rPr>
          <w:t>https://www.opm.gov/policy-data-oversight/pay-leave/salaries-wages/</w:t>
        </w:r>
      </w:hyperlink>
      <w:r w:rsidRPr="00A32D44">
        <w:rPr>
          <w:rFonts w:ascii="Arial Narrow" w:hAnsi="Arial Narrow" w:cs="Arial"/>
        </w:rPr>
        <w:t xml:space="preserve">. </w:t>
      </w:r>
    </w:p>
    <w:p w14:paraId="7A9F2212" w14:textId="77777777" w:rsidR="003750D6" w:rsidRPr="00A32D44" w:rsidRDefault="003750D6" w:rsidP="00AA442B">
      <w:pPr>
        <w:pStyle w:val="ListParagraph"/>
        <w:numPr>
          <w:ilvl w:val="0"/>
          <w:numId w:val="15"/>
        </w:numPr>
        <w:spacing w:after="0"/>
        <w:rPr>
          <w:rFonts w:ascii="Arial Narrow" w:hAnsi="Arial Narrow"/>
          <w:i/>
        </w:rPr>
      </w:pPr>
      <w:r w:rsidRPr="00A32D44">
        <w:rPr>
          <w:rFonts w:ascii="Arial Narrow" w:hAnsi="Arial Narrow" w:cs="Arial"/>
        </w:rPr>
        <w:t>To supplant (or replace) current funding of existing services.</w:t>
      </w:r>
    </w:p>
    <w:bookmarkEnd w:id="2"/>
    <w:p w14:paraId="590F492C" w14:textId="148C5505" w:rsidR="008922A0" w:rsidRDefault="008922A0" w:rsidP="00101BB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265B0CF" w:rsidR="00905C50" w:rsidRPr="0024214D" w:rsidRDefault="00905C50" w:rsidP="004B3CB5">
      <w:pPr>
        <w:spacing w:before="120" w:after="120"/>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3" w:name="_Toc55896541"/>
      <w:r w:rsidRPr="000901BE">
        <w:rPr>
          <w:rFonts w:ascii="Arial Narrow" w:hAnsi="Arial Narrow"/>
        </w:rPr>
        <w:t>Section VIII – General Mental Health Services and Substance Abuse and Specific Federal and State Funded Projects</w:t>
      </w:r>
      <w:bookmarkEnd w:id="3"/>
    </w:p>
    <w:p w14:paraId="72F4E3E1" w14:textId="77777777" w:rsidR="004F64DD" w:rsidRDefault="004F64DD" w:rsidP="00E97FF8">
      <w:pPr>
        <w:rPr>
          <w:rFonts w:ascii="Arial Narrow" w:hAnsi="Arial Narrow"/>
          <w:sz w:val="22"/>
          <w:szCs w:val="22"/>
        </w:rPr>
      </w:pPr>
    </w:p>
    <w:p w14:paraId="048D3FB2" w14:textId="44024AEC" w:rsidR="00416958" w:rsidRPr="0024214D" w:rsidRDefault="00E57D80" w:rsidP="00E57D80">
      <w:pPr>
        <w:rPr>
          <w:rFonts w:ascii="Arial Narrow" w:hAnsi="Arial Narrow"/>
          <w:sz w:val="22"/>
          <w:szCs w:val="22"/>
        </w:rPr>
      </w:pPr>
      <w:bookmarkStart w:id="4" w:name="_Hlk55894675"/>
      <w:r w:rsidRPr="00E57D80">
        <w:rPr>
          <w:rFonts w:ascii="Arial Narrow" w:hAnsi="Arial Narrow"/>
          <w:sz w:val="22"/>
          <w:szCs w:val="22"/>
        </w:rPr>
        <w:t xml:space="preserve">The following cost pools, which were included in the Managing Entity Schedule of Funds as of </w:t>
      </w:r>
      <w:r>
        <w:rPr>
          <w:rFonts w:ascii="Arial Narrow" w:hAnsi="Arial Narrow"/>
          <w:sz w:val="22"/>
          <w:szCs w:val="22"/>
        </w:rPr>
        <w:t>November 4, 2020</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4"/>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E71D472" w14:textId="723BF8D8" w:rsidR="00DC594D" w:rsidRPr="00DC594D" w:rsidRDefault="0072487D" w:rsidP="00DC594D">
      <w:pPr>
        <w:tabs>
          <w:tab w:val="center" w:pos="4320"/>
          <w:tab w:val="right" w:pos="8640"/>
        </w:tabs>
        <w:rPr>
          <w:rFonts w:ascii="Arial Narrow" w:hAnsi="Arial Narrow"/>
          <w:sz w:val="22"/>
          <w:szCs w:val="22"/>
        </w:rPr>
      </w:pPr>
      <w:r w:rsidRPr="00D85C1C">
        <w:rPr>
          <w:rFonts w:ascii="Arial Narrow" w:hAnsi="Arial Narrow"/>
          <w:b/>
          <w:sz w:val="22"/>
          <w:szCs w:val="22"/>
          <w:u w:val="single"/>
        </w:rPr>
        <w:t>MH</w:t>
      </w:r>
      <w:r w:rsidR="00DC594D">
        <w:rPr>
          <w:rFonts w:ascii="Arial Narrow" w:hAnsi="Arial Narrow"/>
          <w:b/>
          <w:sz w:val="22"/>
          <w:szCs w:val="22"/>
          <w:u w:val="single"/>
        </w:rPr>
        <w:t>HMD</w:t>
      </w:r>
      <w:r w:rsidRPr="00D85C1C">
        <w:rPr>
          <w:rFonts w:ascii="Arial Narrow" w:hAnsi="Arial Narrow"/>
          <w:b/>
          <w:sz w:val="22"/>
          <w:szCs w:val="22"/>
          <w:u w:val="single"/>
        </w:rPr>
        <w:t xml:space="preserve"> – </w:t>
      </w:r>
      <w:r w:rsidR="00DC594D" w:rsidRPr="00DC594D">
        <w:rPr>
          <w:rFonts w:ascii="Arial Narrow" w:hAnsi="Arial Narrow"/>
          <w:b/>
          <w:sz w:val="22"/>
          <w:szCs w:val="22"/>
          <w:u w:val="single"/>
        </w:rPr>
        <w:t xml:space="preserve">ME FL Hurricane Michael Disaster Response </w:t>
      </w:r>
      <w:r w:rsidRPr="00D85C1C">
        <w:rPr>
          <w:rFonts w:ascii="Arial Narrow" w:hAnsi="Arial Narrow"/>
          <w:sz w:val="22"/>
          <w:szCs w:val="22"/>
        </w:rPr>
        <w:t xml:space="preserve">– This cost pool </w:t>
      </w:r>
      <w:r w:rsidR="00DC594D" w:rsidRPr="00DC594D">
        <w:rPr>
          <w:rFonts w:ascii="Arial Narrow" w:hAnsi="Arial Narrow"/>
          <w:sz w:val="22"/>
          <w:szCs w:val="22"/>
        </w:rPr>
        <w:t>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w:t>
      </w:r>
      <w:r w:rsidR="00DC594D">
        <w:rPr>
          <w:rFonts w:ascii="Arial Narrow" w:hAnsi="Arial Narrow"/>
          <w:sz w:val="22"/>
          <w:szCs w:val="22"/>
        </w:rPr>
        <w:t xml:space="preserve"> </w:t>
      </w:r>
      <w:r w:rsidR="00DC594D" w:rsidRPr="00DC594D">
        <w:rPr>
          <w:rFonts w:ascii="Arial Narrow" w:hAnsi="Arial Narrow"/>
          <w:sz w:val="22"/>
          <w:szCs w:val="22"/>
        </w:rPr>
        <w:t xml:space="preserve">one-year discretionary grant awarded by the Substance Abuse and Mental Health Services Administration. </w:t>
      </w:r>
    </w:p>
    <w:p w14:paraId="0FEFD0CA" w14:textId="77777777" w:rsidR="00DC594D" w:rsidRPr="00DC594D" w:rsidRDefault="00DC594D" w:rsidP="00DC594D">
      <w:pPr>
        <w:tabs>
          <w:tab w:val="center" w:pos="4320"/>
          <w:tab w:val="right" w:pos="8640"/>
        </w:tabs>
        <w:rPr>
          <w:rFonts w:ascii="Arial Narrow" w:hAnsi="Arial Narrow"/>
          <w:sz w:val="22"/>
          <w:szCs w:val="22"/>
        </w:rPr>
      </w:pPr>
    </w:p>
    <w:p w14:paraId="45319B36" w14:textId="1D23CCFA" w:rsidR="0072487D" w:rsidRDefault="00DC594D" w:rsidP="00DC594D">
      <w:pPr>
        <w:tabs>
          <w:tab w:val="center" w:pos="4320"/>
          <w:tab w:val="right" w:pos="8640"/>
        </w:tabs>
        <w:rPr>
          <w:rFonts w:ascii="Arial Narrow" w:hAnsi="Arial Narrow"/>
          <w:sz w:val="22"/>
          <w:szCs w:val="22"/>
        </w:rPr>
      </w:pPr>
      <w:r w:rsidRPr="00DC594D">
        <w:rPr>
          <w:rFonts w:ascii="Arial Narrow" w:hAnsi="Arial Narrow"/>
          <w:sz w:val="22"/>
          <w:szCs w:val="22"/>
        </w:rPr>
        <w:t>All grant funds are allocated to Big Bend Community Based Care to purchase a comprehensive needs assessment, telehealth licenses, services for child welfare involved parents using the Parent Child Interaction Therapy (PCIT) and Functional Family Therapy (FFT) evidence-based practices, school-based supports, adult mental health and substance use disorder treatment and support services, training, and project evaluation services.</w:t>
      </w:r>
    </w:p>
    <w:p w14:paraId="1B1C43AE" w14:textId="074AFCF6" w:rsidR="0072487D" w:rsidRDefault="0072487D" w:rsidP="00CD0CE1">
      <w:pPr>
        <w:rPr>
          <w:rFonts w:ascii="Arial Narrow" w:hAnsi="Arial Narrow"/>
          <w:sz w:val="22"/>
          <w:szCs w:val="22"/>
        </w:rPr>
      </w:pPr>
    </w:p>
    <w:p w14:paraId="735A668A"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6E1CBE35"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assessment, including incentives for participating in the required data collection follow-up. Funds may not be used </w:t>
      </w:r>
    </w:p>
    <w:p w14:paraId="5FB9DDAE"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to: </w:t>
      </w:r>
    </w:p>
    <w:p w14:paraId="787A41BC"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0538CE39"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Pay for promotional items; </w:t>
      </w:r>
    </w:p>
    <w:p w14:paraId="6F4C1D2C"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5608113A"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0E89BBCF" w14:textId="01C6764D" w:rsidR="00DC594D" w:rsidRPr="00A32D44" w:rsidRDefault="00DC594D" w:rsidP="00DC594D">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sidR="00411777">
        <w:rPr>
          <w:rFonts w:ascii="Arial Narrow" w:hAnsi="Arial Narrow" w:cs="Arial"/>
        </w:rPr>
        <w:t>;</w:t>
      </w:r>
      <w:r w:rsidR="00411777" w:rsidRPr="00A32D44">
        <w:rPr>
          <w:rFonts w:ascii="Arial Narrow" w:hAnsi="Arial Narrow" w:cs="Arial"/>
        </w:rPr>
        <w:t xml:space="preserve">  </w:t>
      </w:r>
    </w:p>
    <w:p w14:paraId="54F6B097" w14:textId="7F3E6435" w:rsidR="00DC594D"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DC594D" w:rsidRPr="00A32D44">
        <w:rPr>
          <w:rFonts w:ascii="Arial Narrow" w:hAnsi="Arial Narrow" w:cs="Arial"/>
        </w:rPr>
        <w:t>ay for construction or purchase of structures</w:t>
      </w:r>
      <w:r w:rsidR="00411777">
        <w:rPr>
          <w:rFonts w:ascii="Arial Narrow" w:hAnsi="Arial Narrow" w:cs="Arial"/>
        </w:rPr>
        <w:t>;</w:t>
      </w:r>
      <w:r w:rsidR="00411777" w:rsidRPr="00A32D44">
        <w:rPr>
          <w:rFonts w:ascii="Arial Narrow" w:hAnsi="Arial Narrow" w:cs="Arial"/>
        </w:rPr>
        <w:t xml:space="preserve"> </w:t>
      </w:r>
    </w:p>
    <w:p w14:paraId="091F77B5" w14:textId="18A41F1D" w:rsidR="00411777" w:rsidRPr="00A32D44"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411777">
        <w:rPr>
          <w:rFonts w:ascii="Arial Narrow" w:hAnsi="Arial Narrow" w:cs="Arial"/>
        </w:rPr>
        <w:t>ay for meals;</w:t>
      </w:r>
    </w:p>
    <w:p w14:paraId="16E17A22" w14:textId="77D97EE0" w:rsidR="00DC594D" w:rsidRPr="00A32D44"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DC594D" w:rsidRPr="00A32D44">
        <w:rPr>
          <w:rFonts w:ascii="Arial Narrow" w:hAnsi="Arial Narrow" w:cs="Arial"/>
        </w:rPr>
        <w:t xml:space="preserve">ay the salary of an individual at a rate in excess of </w:t>
      </w:r>
      <w:r w:rsidR="00DC594D" w:rsidRPr="00A32D44">
        <w:rPr>
          <w:rFonts w:ascii="Arial Narrow" w:hAnsi="Arial Narrow"/>
        </w:rPr>
        <w:t xml:space="preserve">Level II of the Executive Schedule, published by the U.S. Office of Personnel Management at: </w:t>
      </w:r>
      <w:hyperlink r:id="rId10" w:history="1">
        <w:r w:rsidR="00411777" w:rsidRPr="00A32D44">
          <w:rPr>
            <w:rStyle w:val="Hyperlink"/>
            <w:rFonts w:ascii="Arial Narrow" w:hAnsi="Arial Narrow"/>
          </w:rPr>
          <w:t>https://www.opm.gov/policy-data-oversight/pay-leave/salaries-wages/</w:t>
        </w:r>
      </w:hyperlink>
      <w:r w:rsidR="00411777">
        <w:rPr>
          <w:rFonts w:ascii="Arial Narrow" w:hAnsi="Arial Narrow" w:cs="Arial"/>
        </w:rPr>
        <w:t>;</w:t>
      </w:r>
      <w:r w:rsidR="00411777" w:rsidRPr="00A32D44">
        <w:rPr>
          <w:rFonts w:ascii="Arial Narrow" w:hAnsi="Arial Narrow" w:cs="Arial"/>
        </w:rPr>
        <w:t xml:space="preserve"> </w:t>
      </w:r>
      <w:r w:rsidR="00411777">
        <w:rPr>
          <w:rFonts w:ascii="Arial Narrow" w:hAnsi="Arial Narrow" w:cs="Arial"/>
        </w:rPr>
        <w:t>and</w:t>
      </w:r>
    </w:p>
    <w:p w14:paraId="631725B1" w14:textId="6DE55254" w:rsidR="00DC594D" w:rsidRPr="00E57D80" w:rsidRDefault="00205285" w:rsidP="00DC594D">
      <w:pPr>
        <w:pStyle w:val="ListParagraph"/>
        <w:numPr>
          <w:ilvl w:val="0"/>
          <w:numId w:val="1"/>
        </w:numPr>
        <w:rPr>
          <w:rFonts w:ascii="Arial Narrow" w:hAnsi="Arial Narrow"/>
        </w:rPr>
      </w:pPr>
      <w:r>
        <w:rPr>
          <w:rFonts w:ascii="Arial Narrow" w:hAnsi="Arial Narrow" w:cs="Arial"/>
        </w:rPr>
        <w:t>S</w:t>
      </w:r>
      <w:r w:rsidR="00DC594D" w:rsidRPr="00A32D44">
        <w:rPr>
          <w:rFonts w:ascii="Arial Narrow" w:hAnsi="Arial Narrow" w:cs="Arial"/>
        </w:rPr>
        <w:t>upplant (or replace) current funding of existing services</w:t>
      </w:r>
      <w:r w:rsidR="00DC594D" w:rsidRPr="00E57D80">
        <w:rPr>
          <w:rFonts w:ascii="Arial Narrow" w:hAnsi="Arial Narrow"/>
        </w:rPr>
        <w:t>.</w:t>
      </w: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3CCB6317" w14:textId="77777777" w:rsidR="00193CC6" w:rsidRDefault="00193CC6"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650E0882" w14:textId="683CEF44" w:rsidR="00C74E85" w:rsidRPr="00C74E85" w:rsidRDefault="00D6198C" w:rsidP="00C74E85">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DE308A" w:rsidRPr="00C74E85">
        <w:rPr>
          <w:rFonts w:ascii="Arial Narrow" w:hAnsi="Arial Narrow"/>
          <w:b/>
          <w:sz w:val="22"/>
          <w:szCs w:val="22"/>
          <w:u w:val="single"/>
        </w:rPr>
        <w:t>TLH</w:t>
      </w:r>
      <w:r w:rsidRPr="00C74E85">
        <w:rPr>
          <w:rFonts w:ascii="Arial Narrow" w:hAnsi="Arial Narrow"/>
          <w:b/>
          <w:sz w:val="22"/>
          <w:szCs w:val="22"/>
          <w:u w:val="single"/>
        </w:rPr>
        <w:t xml:space="preserve"> – </w:t>
      </w:r>
      <w:r w:rsidR="00DE308A" w:rsidRPr="00C74E85">
        <w:rPr>
          <w:rFonts w:ascii="Arial Narrow" w:hAnsi="Arial Narrow"/>
          <w:b/>
          <w:sz w:val="22"/>
          <w:szCs w:val="22"/>
          <w:u w:val="single"/>
        </w:rPr>
        <w:t>ME MH Telehealth Behavioral Health Services</w:t>
      </w:r>
      <w:r w:rsidR="00C74E85">
        <w:rPr>
          <w:rFonts w:ascii="Arial Narrow" w:hAnsi="Arial Narrow"/>
          <w:b/>
          <w:sz w:val="22"/>
          <w:szCs w:val="22"/>
          <w:u w:val="single"/>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C74E85" w:rsidRPr="00C74E85">
        <w:rPr>
          <w:rFonts w:ascii="Arial Narrow" w:hAnsi="Arial Narrow"/>
          <w:sz w:val="22"/>
          <w:szCs w:val="22"/>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p>
    <w:p w14:paraId="6669411C" w14:textId="77777777" w:rsidR="00C74E85" w:rsidRPr="00C74E85" w:rsidRDefault="00C74E85" w:rsidP="00C74E85">
      <w:pPr>
        <w:tabs>
          <w:tab w:val="center" w:pos="4320"/>
          <w:tab w:val="right" w:pos="8640"/>
        </w:tabs>
        <w:rPr>
          <w:rFonts w:ascii="Arial Narrow" w:hAnsi="Arial Narrow"/>
          <w:sz w:val="22"/>
          <w:szCs w:val="22"/>
        </w:rPr>
      </w:pPr>
      <w:r w:rsidRPr="00C74E85">
        <w:rPr>
          <w:rFonts w:ascii="Arial Narrow" w:hAnsi="Arial Narrow"/>
          <w:sz w:val="22"/>
          <w:szCs w:val="22"/>
        </w:rPr>
        <w:t>Allowable costs include:</w:t>
      </w:r>
    </w:p>
    <w:p w14:paraId="6EF3BFDD" w14:textId="33140674" w:rsidR="00C74E85"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 xml:space="preserve">Covered services under Ch. 65E-14.021 when delivered by telehealth platforms to otherwise eligible students and their families referred by the school system, or </w:t>
      </w:r>
    </w:p>
    <w:p w14:paraId="18146252" w14:textId="1064866C" w:rsidR="00C74E85"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p>
    <w:p w14:paraId="0B2B3D97" w14:textId="2D2CAD85" w:rsidR="00D97D6D"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Any combination of behavioral telehealth services of technology and system implementation supports.</w:t>
      </w:r>
    </w:p>
    <w:p w14:paraId="6C3C2645" w14:textId="77777777" w:rsidR="00926FB9" w:rsidRPr="002B5F03" w:rsidRDefault="00926FB9" w:rsidP="00CD0CE1">
      <w:pPr>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3BC9F7DA" w14:textId="7BBBBE64" w:rsidR="00DE308A" w:rsidRDefault="00015477" w:rsidP="00C74E85">
      <w:pPr>
        <w:rPr>
          <w:rFonts w:ascii="Arial Narrow" w:hAnsi="Arial Narrow" w:cs="Arial"/>
          <w:sz w:val="22"/>
          <w:szCs w:val="22"/>
        </w:rPr>
      </w:pPr>
      <w:r w:rsidRPr="007B5063">
        <w:rPr>
          <w:rFonts w:ascii="Arial Narrow" w:hAnsi="Arial Narrow"/>
          <w:b/>
          <w:sz w:val="22"/>
          <w:szCs w:val="22"/>
          <w:u w:val="single"/>
        </w:rPr>
        <w:t>MSRC</w:t>
      </w:r>
      <w:r w:rsidR="00DE308A">
        <w:rPr>
          <w:rFonts w:ascii="Arial Narrow" w:hAnsi="Arial Narrow"/>
          <w:b/>
          <w:sz w:val="22"/>
          <w:szCs w:val="22"/>
          <w:u w:val="single"/>
        </w:rPr>
        <w:t>3</w:t>
      </w:r>
      <w:r w:rsidRPr="007B5063">
        <w:rPr>
          <w:rFonts w:ascii="Arial Narrow" w:hAnsi="Arial Narrow"/>
          <w:b/>
          <w:sz w:val="22"/>
          <w:szCs w:val="22"/>
          <w:u w:val="single"/>
        </w:rPr>
        <w:t xml:space="preserve"> - ME ST Opioid Response Disc Rec Comm Org</w:t>
      </w:r>
      <w:r w:rsidRPr="007B5063">
        <w:rPr>
          <w:rFonts w:ascii="Arial Narrow" w:hAnsi="Arial Narrow"/>
          <w:sz w:val="22"/>
          <w:szCs w:val="22"/>
          <w:u w:val="single"/>
        </w:rPr>
        <w:t xml:space="preserve"> </w:t>
      </w:r>
      <w:r w:rsidRPr="007B5063">
        <w:rPr>
          <w:rFonts w:ascii="Arial Narrow" w:hAnsi="Arial Narrow"/>
          <w:b/>
          <w:sz w:val="22"/>
          <w:szCs w:val="22"/>
          <w:u w:val="single"/>
        </w:rPr>
        <w:t xml:space="preserve">– Year </w:t>
      </w:r>
      <w:r w:rsidR="00DE308A">
        <w:rPr>
          <w:rFonts w:ascii="Arial Narrow" w:hAnsi="Arial Narrow"/>
          <w:b/>
          <w:sz w:val="22"/>
          <w:szCs w:val="22"/>
          <w:u w:val="single"/>
        </w:rPr>
        <w:t>3</w:t>
      </w:r>
      <w:r w:rsidRPr="007B5063">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w:t>
      </w:r>
      <w:r w:rsidR="00C74E85" w:rsidRPr="00C74E85">
        <w:rPr>
          <w:rFonts w:ascii="Arial Narrow" w:hAnsi="Arial Narrow" w:cs="Arial"/>
          <w:sz w:val="22"/>
          <w:szCs w:val="22"/>
        </w:rPr>
        <w:t>captures allowable costs of implementing Recovery Community Organizations (RCOs) under the State Opioid Response II (SOR II) Grant.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 medical services and medication assisted treatment, however, this only applies to RCOs that use the hub and spoke model where RCOs are paying DATA waivered primary care physicians that are providing medication management for their uninsured participants. RCOs will also implement use of the Recovery Capital Scale as a component of the recovery planning process</w:t>
      </w:r>
      <w:r w:rsidR="00DE308A" w:rsidRPr="00DE308A">
        <w:rPr>
          <w:rFonts w:ascii="Arial Narrow" w:hAnsi="Arial Narrow" w:cs="Arial"/>
          <w:sz w:val="22"/>
          <w:szCs w:val="22"/>
        </w:rPr>
        <w:t>.</w:t>
      </w:r>
    </w:p>
    <w:p w14:paraId="10A391E5" w14:textId="77777777" w:rsidR="00DE308A" w:rsidRPr="007B5063" w:rsidRDefault="00DE308A" w:rsidP="00DE308A">
      <w:pPr>
        <w:rPr>
          <w:rFonts w:ascii="Arial Narrow" w:hAnsi="Arial Narrow" w:cs="Arial"/>
          <w:sz w:val="22"/>
          <w:szCs w:val="22"/>
        </w:rPr>
      </w:pPr>
    </w:p>
    <w:p w14:paraId="49E01A68" w14:textId="77777777" w:rsidR="00015477" w:rsidRPr="007B5063" w:rsidRDefault="00015477" w:rsidP="00015477">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3561F447"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9E5223C"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365F147D"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1"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78A1DE31" w14:textId="77777777" w:rsidR="00015477" w:rsidRPr="007B5063" w:rsidRDefault="00015477" w:rsidP="00015477">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650C8178" w14:textId="05BD85F2" w:rsidR="00015477" w:rsidRPr="0046251C" w:rsidRDefault="00015477" w:rsidP="0012435C">
      <w:pPr>
        <w:rPr>
          <w:rFonts w:ascii="Arial Narrow" w:hAnsi="Arial Narrow"/>
        </w:rPr>
      </w:pPr>
      <w:bookmarkStart w:id="5" w:name="_Hlk47338282"/>
      <w:r w:rsidRPr="0012435C">
        <w:rPr>
          <w:rFonts w:ascii="Arial Narrow" w:hAnsi="Arial Narrow"/>
          <w:b/>
          <w:sz w:val="22"/>
          <w:szCs w:val="22"/>
          <w:u w:val="single"/>
        </w:rPr>
        <w:t>MSSG</w:t>
      </w:r>
      <w:r w:rsidR="00DE308A">
        <w:rPr>
          <w:rFonts w:ascii="Arial Narrow" w:hAnsi="Arial Narrow"/>
          <w:b/>
          <w:sz w:val="22"/>
          <w:szCs w:val="22"/>
          <w:u w:val="single"/>
        </w:rPr>
        <w:t>3</w:t>
      </w:r>
      <w:r w:rsidRPr="0012435C">
        <w:rPr>
          <w:rFonts w:ascii="Arial Narrow" w:hAnsi="Arial Narrow"/>
          <w:b/>
          <w:sz w:val="22"/>
          <w:szCs w:val="22"/>
          <w:u w:val="single"/>
        </w:rPr>
        <w:t xml:space="preserve"> - ME State Opioid Response Disc Grant-GPRA </w:t>
      </w:r>
      <w:bookmarkEnd w:id="5"/>
      <w:r w:rsidR="00155853">
        <w:rPr>
          <w:rFonts w:ascii="Arial Narrow" w:hAnsi="Arial Narrow"/>
          <w:b/>
          <w:sz w:val="22"/>
          <w:szCs w:val="22"/>
          <w:u w:val="single"/>
        </w:rPr>
        <w:t>– Year 3</w:t>
      </w:r>
      <w:r w:rsidRPr="0012435C">
        <w:rPr>
          <w:rFonts w:ascii="Arial Narrow" w:hAnsi="Arial Narrow"/>
          <w:sz w:val="22"/>
          <w:szCs w:val="22"/>
        </w:rPr>
        <w:t xml:space="preserve">– </w:t>
      </w:r>
      <w:r w:rsidR="0012435C" w:rsidRPr="0012435C">
        <w:rPr>
          <w:rFonts w:ascii="Arial Narrow" w:hAnsi="Arial Narrow" w:cs="Arial"/>
          <w:sz w:val="22"/>
          <w:szCs w:val="22"/>
        </w:rPr>
        <w:t xml:space="preserve">This cost pool </w:t>
      </w:r>
      <w:r w:rsidR="00C74E85" w:rsidRPr="00C74E85">
        <w:rPr>
          <w:rFonts w:ascii="Arial Narrow" w:hAnsi="Arial Narrow" w:cs="Arial"/>
          <w:sz w:val="22"/>
          <w:szCs w:val="22"/>
        </w:rPr>
        <w:t>captures the allowable costs of contracted network service providers to assist them with administration of the required Government Performance and 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r w:rsidR="0012435C" w:rsidRPr="0012435C">
        <w:rPr>
          <w:rFonts w:ascii="Arial Narrow" w:hAnsi="Arial Narrow" w:cs="Arial"/>
          <w:sz w:val="22"/>
          <w:szCs w:val="22"/>
        </w:rPr>
        <w:t>.</w:t>
      </w:r>
    </w:p>
    <w:p w14:paraId="2BCFCFF5" w14:textId="3B329FCA" w:rsidR="00015477" w:rsidRDefault="00015477" w:rsidP="0012435C">
      <w:pPr>
        <w:rPr>
          <w:rFonts w:ascii="Arial Narrow" w:hAnsi="Arial Narrow"/>
          <w:sz w:val="22"/>
          <w:szCs w:val="22"/>
        </w:rPr>
      </w:pPr>
    </w:p>
    <w:p w14:paraId="5BEE7134" w14:textId="77777777" w:rsidR="0012435C" w:rsidRPr="007B5063" w:rsidRDefault="0012435C" w:rsidP="0012435C">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6579CC41"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C9DB6D4"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197B94FF"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2"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350FB408" w14:textId="77777777" w:rsidR="0012435C" w:rsidRPr="007B5063" w:rsidRDefault="0012435C" w:rsidP="0012435C">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2028E539" w14:textId="77777777" w:rsidR="0012435C" w:rsidRDefault="0012435C" w:rsidP="0012435C">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28668100" w14:textId="77777777" w:rsidR="00C74E85" w:rsidRPr="00C74E85" w:rsidRDefault="00015477" w:rsidP="00C74E85">
      <w:pPr>
        <w:rPr>
          <w:rFonts w:ascii="Arial Narrow" w:hAnsi="Arial Narrow" w:cs="Arial"/>
          <w:sz w:val="22"/>
          <w:szCs w:val="22"/>
        </w:rPr>
      </w:pPr>
      <w:r w:rsidRPr="009C5256">
        <w:rPr>
          <w:rFonts w:ascii="Arial Narrow" w:hAnsi="Arial Narrow"/>
          <w:b/>
          <w:sz w:val="22"/>
          <w:szCs w:val="22"/>
          <w:u w:val="single"/>
        </w:rPr>
        <w:t>MSSM</w:t>
      </w:r>
      <w:r w:rsidR="00155853">
        <w:rPr>
          <w:rFonts w:ascii="Arial Narrow" w:hAnsi="Arial Narrow"/>
          <w:b/>
          <w:sz w:val="22"/>
          <w:szCs w:val="22"/>
          <w:u w:val="single"/>
        </w:rPr>
        <w:t>3</w:t>
      </w:r>
      <w:r w:rsidRPr="009C5256">
        <w:rPr>
          <w:rFonts w:ascii="Arial Narrow" w:hAnsi="Arial Narrow"/>
          <w:b/>
          <w:sz w:val="22"/>
          <w:szCs w:val="22"/>
          <w:u w:val="single"/>
        </w:rPr>
        <w:t xml:space="preserve"> - ME State Opioid Response SVCS-MAT – Year </w:t>
      </w:r>
      <w:r w:rsidR="00155853">
        <w:rPr>
          <w:rFonts w:ascii="Arial Narrow" w:hAnsi="Arial Narrow"/>
          <w:b/>
          <w:sz w:val="22"/>
          <w:szCs w:val="22"/>
          <w:u w:val="single"/>
        </w:rPr>
        <w:t>3</w:t>
      </w:r>
      <w:r w:rsidRPr="009C5256">
        <w:rPr>
          <w:rFonts w:ascii="Arial Narrow" w:hAnsi="Arial Narrow"/>
          <w:b/>
          <w:sz w:val="22"/>
          <w:szCs w:val="22"/>
        </w:rPr>
        <w:t xml:space="preserve"> – </w:t>
      </w:r>
      <w:r w:rsidRPr="009C5256">
        <w:rPr>
          <w:rFonts w:ascii="Arial Narrow" w:hAnsi="Arial Narrow" w:cs="Arial"/>
          <w:sz w:val="22"/>
          <w:szCs w:val="22"/>
        </w:rPr>
        <w:t xml:space="preserve">This cost pool </w:t>
      </w:r>
      <w:r w:rsidR="00C74E85" w:rsidRPr="00C74E85">
        <w:rPr>
          <w:rFonts w:ascii="Arial Narrow" w:hAnsi="Arial Narrow" w:cs="Arial"/>
          <w:sz w:val="22"/>
          <w:szCs w:val="22"/>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p>
    <w:p w14:paraId="7F6FA7B3" w14:textId="77777777" w:rsidR="00C74E85" w:rsidRPr="00C74E85" w:rsidRDefault="00C74E85" w:rsidP="00C74E85">
      <w:pPr>
        <w:rPr>
          <w:rFonts w:ascii="Arial Narrow" w:hAnsi="Arial Narrow" w:cs="Arial"/>
          <w:sz w:val="22"/>
          <w:szCs w:val="22"/>
        </w:rPr>
      </w:pPr>
    </w:p>
    <w:p w14:paraId="798181E6" w14:textId="77777777" w:rsidR="00C74E85" w:rsidRPr="00C74E85" w:rsidRDefault="00C74E85" w:rsidP="00C74E85">
      <w:pPr>
        <w:rPr>
          <w:rFonts w:ascii="Arial Narrow" w:hAnsi="Arial Narrow" w:cs="Arial"/>
          <w:sz w:val="22"/>
          <w:szCs w:val="22"/>
        </w:rPr>
      </w:pPr>
      <w:r w:rsidRPr="00C74E85">
        <w:rPr>
          <w:rFonts w:ascii="Arial Narrow" w:hAnsi="Arial Narrow" w:cs="Arial"/>
          <w:sz w:val="22"/>
          <w:szCs w:val="22"/>
        </w:rPr>
        <w:t xml:space="preserve">When treating individuals with opioid use disorders or opioid misuse, the covered services described in ch. 65E-14.021, F.A.C., are allowable uses of these funds when provided in conjunction with methadone, buprenorphine, or oral naltrexone maintenance. These funds may also be used to support individuals receiving injectable extended-release naltrexone (Vivitrol) provided under funding available through the Florida Alcohol and Drug Abuse Association, except for Assessment, Medical Services and Medication-Assisted Treatment when </w:t>
      </w:r>
    </w:p>
    <w:p w14:paraId="786148C4" w14:textId="77777777" w:rsidR="00C74E85" w:rsidRPr="00C74E85" w:rsidRDefault="00C74E85" w:rsidP="00C74E85">
      <w:pPr>
        <w:rPr>
          <w:rFonts w:ascii="Arial Narrow" w:hAnsi="Arial Narrow" w:cs="Arial"/>
          <w:sz w:val="22"/>
          <w:szCs w:val="22"/>
        </w:rPr>
      </w:pPr>
    </w:p>
    <w:p w14:paraId="47317CEA" w14:textId="77777777" w:rsidR="00C74E85" w:rsidRPr="00C74E85" w:rsidRDefault="00C74E85" w:rsidP="00C74E85">
      <w:pPr>
        <w:rPr>
          <w:rFonts w:ascii="Arial Narrow" w:hAnsi="Arial Narrow" w:cs="Arial"/>
          <w:sz w:val="22"/>
          <w:szCs w:val="22"/>
        </w:rPr>
      </w:pPr>
      <w:r w:rsidRPr="00C74E85">
        <w:rPr>
          <w:rFonts w:ascii="Arial Narrow" w:hAnsi="Arial Narrow" w:cs="Arial"/>
          <w:sz w:val="22"/>
          <w:szCs w:val="22"/>
        </w:rP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Recovery Support; Respite; Supported Employment; Supportive Housing/Living; Inpatient Detoxification; Residential Levels I and II; Outpatient Detoxification. If medical withdrawal (detoxification) services are provided to individuals with opioid use disorders, it must be accompanied by naltrexone. Individuals with opioid use disorder may only be served in Residential Levels I and II if they are inducted on methadone, buprenorphine, or naltrexone.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15 days for residential treatment placements.</w:t>
      </w:r>
    </w:p>
    <w:p w14:paraId="509204A2" w14:textId="77777777" w:rsidR="00C74E85" w:rsidRPr="00C74E85" w:rsidRDefault="00C74E85" w:rsidP="00C74E85">
      <w:pPr>
        <w:rPr>
          <w:rFonts w:ascii="Arial Narrow" w:hAnsi="Arial Narrow" w:cs="Arial"/>
          <w:sz w:val="22"/>
          <w:szCs w:val="22"/>
        </w:rPr>
      </w:pPr>
    </w:p>
    <w:p w14:paraId="093AC8F9" w14:textId="0CC89CB6" w:rsidR="00015477" w:rsidRPr="009C5256" w:rsidRDefault="00C74E85" w:rsidP="00C74E85">
      <w:pPr>
        <w:rPr>
          <w:rFonts w:ascii="Arial Narrow" w:hAnsi="Arial Narrow"/>
          <w:sz w:val="22"/>
          <w:szCs w:val="22"/>
        </w:rPr>
      </w:pPr>
      <w:r w:rsidRPr="00C74E85">
        <w:rPr>
          <w:rFonts w:ascii="Arial Narrow" w:hAnsi="Arial Narrow" w:cs="Arial"/>
          <w:sz w:val="22"/>
          <w:szCs w:val="22"/>
        </w:rPr>
        <w:t>These funds may also be used to support hospital bridge programs that involve outreach, engagement, medication induction, and linkage to evidence-based treatment and recovery support services. These funds may also be used to support eligible treatment and recovery support services provided through child welfare programs</w:t>
      </w:r>
      <w:r w:rsidR="00015477" w:rsidRPr="009C5256">
        <w:rPr>
          <w:rFonts w:ascii="Arial Narrow" w:hAnsi="Arial Narrow" w:cs="Arial"/>
          <w:sz w:val="22"/>
          <w:szCs w:val="22"/>
        </w:rPr>
        <w:t>.</w:t>
      </w:r>
    </w:p>
    <w:p w14:paraId="2F3CC017" w14:textId="77777777" w:rsidR="00015477" w:rsidRPr="009C5256" w:rsidRDefault="00015477" w:rsidP="00015477">
      <w:pPr>
        <w:rPr>
          <w:rFonts w:ascii="Arial Narrow" w:hAnsi="Arial Narrow"/>
          <w:sz w:val="22"/>
          <w:szCs w:val="22"/>
        </w:rPr>
      </w:pPr>
    </w:p>
    <w:p w14:paraId="48A1FEB5" w14:textId="77777777"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In addition, State Opioid Response funds may not be used for the following purposes: </w:t>
      </w:r>
    </w:p>
    <w:p w14:paraId="48897685" w14:textId="77777777" w:rsidR="009C5256"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Make direct payments to individuals to enter treatment or continue to participate in prevention or treatment services. </w:t>
      </w:r>
    </w:p>
    <w:p w14:paraId="09B5431E" w14:textId="7D72FA05" w:rsidR="00015477" w:rsidRPr="009C5256" w:rsidRDefault="009C5256"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w:t>
      </w:r>
      <w:r w:rsidR="00015477" w:rsidRPr="009C5256">
        <w:rPr>
          <w:rFonts w:ascii="Arial Narrow" w:hAnsi="Arial Narrow" w:cs="Arial"/>
        </w:rPr>
        <w:t xml:space="preserve">pay for construction or purchase of structures. </w:t>
      </w:r>
    </w:p>
    <w:p w14:paraId="09DC95D1"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lastRenderedPageBreak/>
        <w:t xml:space="preserve">To pay the salary of an individual at a rate in excess of </w:t>
      </w:r>
      <w:r w:rsidRPr="009C5256">
        <w:rPr>
          <w:rFonts w:ascii="Arial Narrow" w:hAnsi="Arial Narrow"/>
        </w:rPr>
        <w:t xml:space="preserve">Level II of the Executive Schedule, published by the U.S. Office of Personnel Management at: </w:t>
      </w:r>
      <w:hyperlink r:id="rId13" w:history="1">
        <w:r w:rsidRPr="009C5256">
          <w:rPr>
            <w:rStyle w:val="Hyperlink"/>
            <w:rFonts w:ascii="Arial Narrow" w:hAnsi="Arial Narrow"/>
          </w:rPr>
          <w:t>https://www.opm.gov/policy-data-oversight/pay-leave/salaries-wages/</w:t>
        </w:r>
      </w:hyperlink>
      <w:r w:rsidRPr="009C5256">
        <w:rPr>
          <w:rFonts w:ascii="Arial Narrow" w:hAnsi="Arial Narrow" w:cs="Arial"/>
        </w:rPr>
        <w:t xml:space="preserve">. </w:t>
      </w:r>
    </w:p>
    <w:p w14:paraId="6E6C2414"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6D64D8B0" w14:textId="77777777" w:rsidR="00C74E85" w:rsidRPr="00C74E85" w:rsidRDefault="005C068B" w:rsidP="00C74E85">
      <w:pPr>
        <w:rPr>
          <w:rFonts w:ascii="Arial Narrow" w:hAnsi="Arial Narrow" w:cs="Arial"/>
          <w:sz w:val="22"/>
          <w:szCs w:val="22"/>
        </w:rPr>
      </w:pPr>
      <w:r w:rsidRPr="00345A45">
        <w:rPr>
          <w:rFonts w:ascii="Arial Narrow" w:hAnsi="Arial Narrow"/>
          <w:b/>
          <w:sz w:val="22"/>
          <w:szCs w:val="22"/>
          <w:u w:val="single"/>
        </w:rPr>
        <w:t>MSSP</w:t>
      </w:r>
      <w:r w:rsidR="00155853">
        <w:rPr>
          <w:rFonts w:ascii="Arial Narrow" w:hAnsi="Arial Narrow"/>
          <w:b/>
          <w:sz w:val="22"/>
          <w:szCs w:val="22"/>
          <w:u w:val="single"/>
        </w:rPr>
        <w:t>3</w:t>
      </w:r>
      <w:r w:rsidRPr="00345A45">
        <w:rPr>
          <w:rFonts w:ascii="Arial Narrow" w:hAnsi="Arial Narrow"/>
          <w:b/>
          <w:sz w:val="22"/>
          <w:szCs w:val="22"/>
          <w:u w:val="single"/>
        </w:rPr>
        <w:t xml:space="preserve"> - ME State Opioid Response Disc Grant Prevent – Year </w:t>
      </w:r>
      <w:r w:rsidR="00155853">
        <w:rPr>
          <w:rFonts w:ascii="Arial Narrow" w:hAnsi="Arial Narrow"/>
          <w:b/>
          <w:sz w:val="22"/>
          <w:szCs w:val="22"/>
          <w:u w:val="single"/>
        </w:rPr>
        <w:t>3</w:t>
      </w:r>
      <w:r w:rsidRPr="00E81A39">
        <w:rPr>
          <w:rFonts w:ascii="Arial Narrow" w:hAnsi="Arial Narrow"/>
          <w:bCs/>
          <w:sz w:val="22"/>
          <w:szCs w:val="22"/>
        </w:rPr>
        <w:t xml:space="preserve"> -</w:t>
      </w:r>
      <w:r w:rsidRPr="00F56A48">
        <w:rPr>
          <w:rFonts w:ascii="Arial Narrow" w:hAnsi="Arial Narrow"/>
          <w:bCs/>
          <w:sz w:val="22"/>
          <w:szCs w:val="22"/>
        </w:rPr>
        <w:t xml:space="preserve"> </w:t>
      </w:r>
      <w:r w:rsidR="00BD7DE2" w:rsidRPr="00345A45">
        <w:rPr>
          <w:rFonts w:ascii="Arial Narrow" w:hAnsi="Arial Narrow" w:cs="Arial"/>
          <w:sz w:val="22"/>
          <w:szCs w:val="22"/>
        </w:rPr>
        <w:t xml:space="preserve">This cost pool </w:t>
      </w:r>
      <w:r w:rsidR="00C74E85" w:rsidRPr="00C74E85">
        <w:rPr>
          <w:rFonts w:ascii="Arial Narrow" w:hAnsi="Arial Narrow" w:cs="Arial"/>
          <w:sz w:val="22"/>
          <w:szCs w:val="22"/>
        </w:rPr>
        <w:t xml:space="preserve">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The list of approved, evidence-based programs that providers can choose from include: </w:t>
      </w:r>
    </w:p>
    <w:p w14:paraId="4D34F235" w14:textId="1B99972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Botvin LifeSkills Training</w:t>
      </w:r>
    </w:p>
    <w:p w14:paraId="033CA8BC" w14:textId="0823B0CB"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Strengthening Families Program (for Parents and Youth 10-14)</w:t>
      </w:r>
    </w:p>
    <w:p w14:paraId="4921E0BB" w14:textId="42F902CA"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Caring School Community</w:t>
      </w:r>
    </w:p>
    <w:p w14:paraId="33B734C3" w14:textId="506501A2"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Guiding Good Choices</w:t>
      </w:r>
    </w:p>
    <w:p w14:paraId="166FEA9E" w14:textId="5FA0377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InShape Prevention Plus Wellness</w:t>
      </w:r>
    </w:p>
    <w:p w14:paraId="5E8877B4" w14:textId="1A7DC47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PAX Good Behavior Game</w:t>
      </w:r>
    </w:p>
    <w:p w14:paraId="34651918" w14:textId="76F44BBB"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Positive Action</w:t>
      </w:r>
    </w:p>
    <w:p w14:paraId="25808C5B" w14:textId="2EA22D42"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Project SUCCESS</w:t>
      </w:r>
    </w:p>
    <w:p w14:paraId="4F954258" w14:textId="71BBD98F"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Project Towards No Drug Abuse</w:t>
      </w:r>
    </w:p>
    <w:p w14:paraId="2C1F0828" w14:textId="30490C49"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SPORT Prevention Plus Wellness</w:t>
      </w:r>
    </w:p>
    <w:p w14:paraId="3D88A65F" w14:textId="6DD2F7C9"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Teen Intervene</w:t>
      </w:r>
    </w:p>
    <w:p w14:paraId="3E635B0F" w14:textId="4E0C8763"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04A93268" w14:textId="77777777" w:rsidR="00C74E85" w:rsidRPr="00C74E85" w:rsidRDefault="00C74E85" w:rsidP="00C74E85">
      <w:pPr>
        <w:rPr>
          <w:rFonts w:ascii="Arial Narrow" w:hAnsi="Arial Narrow" w:cs="Arial"/>
          <w:sz w:val="22"/>
          <w:szCs w:val="22"/>
        </w:rPr>
      </w:pPr>
    </w:p>
    <w:p w14:paraId="7BB4EB0B" w14:textId="65C0618D" w:rsidR="00BD7DE2" w:rsidRPr="00345A45" w:rsidRDefault="00C74E85" w:rsidP="00C74E85">
      <w:pPr>
        <w:rPr>
          <w:rFonts w:ascii="Arial Narrow" w:hAnsi="Arial Narrow"/>
          <w:sz w:val="22"/>
          <w:szCs w:val="22"/>
        </w:rPr>
      </w:pPr>
      <w:r w:rsidRPr="00C74E85">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r w:rsidR="00BD7DE2" w:rsidRPr="00345A45">
        <w:rPr>
          <w:rFonts w:ascii="Arial Narrow" w:hAnsi="Arial Narrow" w:cs="Arial"/>
          <w:sz w:val="22"/>
          <w:szCs w:val="22"/>
        </w:rPr>
        <w:t>.</w:t>
      </w:r>
    </w:p>
    <w:p w14:paraId="66AA0413" w14:textId="77777777" w:rsidR="00BD7DE2" w:rsidRPr="00345A45" w:rsidRDefault="00BD7DE2" w:rsidP="006D2212">
      <w:pPr>
        <w:rPr>
          <w:rFonts w:ascii="Arial Narrow" w:hAnsi="Arial Narrow"/>
          <w:sz w:val="22"/>
          <w:szCs w:val="22"/>
        </w:rPr>
      </w:pPr>
    </w:p>
    <w:p w14:paraId="236B2924" w14:textId="77777777" w:rsidR="00BD7DE2" w:rsidRPr="00345A45" w:rsidRDefault="00BD7DE2" w:rsidP="006D2212">
      <w:pPr>
        <w:rPr>
          <w:rFonts w:ascii="Arial Narrow" w:hAnsi="Arial Narrow" w:cs="Arial"/>
          <w:sz w:val="22"/>
          <w:szCs w:val="22"/>
        </w:rPr>
      </w:pPr>
      <w:bookmarkStart w:id="6" w:name="_Hlk47343868"/>
      <w:r w:rsidRPr="00345A45">
        <w:rPr>
          <w:rFonts w:ascii="Arial Narrow" w:hAnsi="Arial Narrow" w:cs="Arial"/>
          <w:sz w:val="22"/>
          <w:szCs w:val="22"/>
        </w:rPr>
        <w:t xml:space="preserve">State Opioid Response funds may not be used for the following purposes: </w:t>
      </w:r>
    </w:p>
    <w:p w14:paraId="611614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Make direct payments to individuals to enter treatment or continue to participate in prevention or treatment services.</w:t>
      </w:r>
    </w:p>
    <w:p w14:paraId="271F7A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for construction or purchase of structures. </w:t>
      </w:r>
    </w:p>
    <w:p w14:paraId="7DAD73CC" w14:textId="2FC6E77B" w:rsidR="00BD7DE2" w:rsidRPr="00345A45" w:rsidRDefault="007F26AD"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the salary of an individual at a rate in excess of </w:t>
      </w:r>
      <w:r w:rsidRPr="00345A45">
        <w:rPr>
          <w:rFonts w:ascii="Arial Narrow" w:hAnsi="Arial Narrow"/>
        </w:rPr>
        <w:t xml:space="preserve">Level II of the Executive Schedule, published by the U.S. Office of Personnel Management at: </w:t>
      </w:r>
      <w:hyperlink r:id="rId14" w:history="1">
        <w:r w:rsidRPr="00345A45">
          <w:rPr>
            <w:rStyle w:val="Hyperlink"/>
            <w:rFonts w:ascii="Arial Narrow" w:hAnsi="Arial Narrow"/>
          </w:rPr>
          <w:t>https://www.opm.gov/policy-data-oversight/pay-leave/salaries-wages/</w:t>
        </w:r>
      </w:hyperlink>
      <w:r w:rsidR="00BD7DE2" w:rsidRPr="00345A45">
        <w:rPr>
          <w:rFonts w:ascii="Arial Narrow" w:hAnsi="Arial Narrow" w:cs="Arial"/>
        </w:rPr>
        <w:t xml:space="preserve">. </w:t>
      </w:r>
    </w:p>
    <w:p w14:paraId="02404DA1" w14:textId="77777777" w:rsidR="00BD7DE2" w:rsidRPr="00345A45" w:rsidRDefault="00BD7DE2" w:rsidP="006D2212">
      <w:pPr>
        <w:pStyle w:val="ListParagraph"/>
        <w:numPr>
          <w:ilvl w:val="0"/>
          <w:numId w:val="13"/>
        </w:numPr>
        <w:spacing w:after="0"/>
        <w:ind w:left="720"/>
        <w:rPr>
          <w:rFonts w:ascii="Arial Narrow" w:hAnsi="Arial Narrow"/>
        </w:rPr>
      </w:pPr>
      <w:r w:rsidRPr="00345A45">
        <w:rPr>
          <w:rFonts w:ascii="Arial Narrow" w:hAnsi="Arial Narrow" w:cs="Arial"/>
        </w:rPr>
        <w:t>To supplant (or replace) current funding of existing services.</w:t>
      </w:r>
    </w:p>
    <w:bookmarkEnd w:id="6"/>
    <w:p w14:paraId="76CA8285" w14:textId="77777777" w:rsidR="005C068B" w:rsidRDefault="005C068B" w:rsidP="005C068B">
      <w:pPr>
        <w:ind w:left="720"/>
        <w:rPr>
          <w:rFonts w:ascii="Arial Narrow" w:hAnsi="Arial Narrow"/>
          <w:sz w:val="22"/>
          <w:szCs w:val="22"/>
        </w:rPr>
      </w:pPr>
    </w:p>
    <w:p w14:paraId="51FE27D8"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5"/>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7" w:name="_Toc55896542"/>
      <w:r w:rsidRPr="000901BE">
        <w:rPr>
          <w:rFonts w:ascii="Arial Narrow" w:hAnsi="Arial Narrow"/>
        </w:rPr>
        <w:lastRenderedPageBreak/>
        <w:t>Attachment II – Chart of Accounts for Accounting and Data Systems</w:t>
      </w:r>
      <w:bookmarkEnd w:id="7"/>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73DE" w14:textId="77777777" w:rsidR="0020763B" w:rsidRDefault="0020763B">
      <w:r>
        <w:separator/>
      </w:r>
    </w:p>
  </w:endnote>
  <w:endnote w:type="continuationSeparator" w:id="0">
    <w:p w14:paraId="2B121E5C" w14:textId="77777777" w:rsidR="0020763B" w:rsidRDefault="0020763B">
      <w:r>
        <w:continuationSeparator/>
      </w:r>
    </w:p>
  </w:endnote>
  <w:endnote w:type="continuationNotice" w:id="1">
    <w:p w14:paraId="77C0AA43" w14:textId="77777777" w:rsidR="0020763B" w:rsidRDefault="0020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30F9E32" w:rsidR="00D54A45" w:rsidRPr="00301525" w:rsidRDefault="00D54A45" w:rsidP="00301525">
    <w:pPr>
      <w:pStyle w:val="Footer"/>
    </w:pPr>
    <w:r>
      <w:t>Version FY 20-21 November 12,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96E9" w14:textId="77777777" w:rsidR="0020763B" w:rsidRDefault="0020763B">
      <w:r>
        <w:separator/>
      </w:r>
    </w:p>
  </w:footnote>
  <w:footnote w:type="continuationSeparator" w:id="0">
    <w:p w14:paraId="6751B2C0" w14:textId="77777777" w:rsidR="0020763B" w:rsidRDefault="0020763B">
      <w:r>
        <w:continuationSeparator/>
      </w:r>
    </w:p>
  </w:footnote>
  <w:footnote w:type="continuationNotice" w:id="1">
    <w:p w14:paraId="69C05A18" w14:textId="77777777" w:rsidR="0020763B" w:rsidRDefault="002076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898189">
    <w:abstractNumId w:val="0"/>
  </w:num>
  <w:num w:numId="2" w16cid:durableId="439567476">
    <w:abstractNumId w:val="14"/>
  </w:num>
  <w:num w:numId="3" w16cid:durableId="1178731663">
    <w:abstractNumId w:val="27"/>
  </w:num>
  <w:num w:numId="4" w16cid:durableId="1077050831">
    <w:abstractNumId w:val="30"/>
  </w:num>
  <w:num w:numId="5" w16cid:durableId="1776363056">
    <w:abstractNumId w:val="26"/>
  </w:num>
  <w:num w:numId="6" w16cid:durableId="991366861">
    <w:abstractNumId w:val="11"/>
  </w:num>
  <w:num w:numId="7" w16cid:durableId="855384208">
    <w:abstractNumId w:val="1"/>
  </w:num>
  <w:num w:numId="8" w16cid:durableId="1453282800">
    <w:abstractNumId w:val="4"/>
  </w:num>
  <w:num w:numId="9" w16cid:durableId="933972413">
    <w:abstractNumId w:val="2"/>
  </w:num>
  <w:num w:numId="10" w16cid:durableId="751201260">
    <w:abstractNumId w:val="20"/>
  </w:num>
  <w:num w:numId="11" w16cid:durableId="39324736">
    <w:abstractNumId w:val="19"/>
  </w:num>
  <w:num w:numId="12" w16cid:durableId="723679799">
    <w:abstractNumId w:val="3"/>
  </w:num>
  <w:num w:numId="13" w16cid:durableId="1819374971">
    <w:abstractNumId w:val="22"/>
  </w:num>
  <w:num w:numId="14" w16cid:durableId="946078596">
    <w:abstractNumId w:val="28"/>
  </w:num>
  <w:num w:numId="15" w16cid:durableId="291596039">
    <w:abstractNumId w:val="13"/>
  </w:num>
  <w:num w:numId="16" w16cid:durableId="542982253">
    <w:abstractNumId w:val="6"/>
  </w:num>
  <w:num w:numId="17" w16cid:durableId="376205210">
    <w:abstractNumId w:val="25"/>
  </w:num>
  <w:num w:numId="18" w16cid:durableId="364405993">
    <w:abstractNumId w:val="7"/>
  </w:num>
  <w:num w:numId="19" w16cid:durableId="994996287">
    <w:abstractNumId w:val="15"/>
  </w:num>
  <w:num w:numId="20" w16cid:durableId="1241408561">
    <w:abstractNumId w:val="29"/>
  </w:num>
  <w:num w:numId="21" w16cid:durableId="1545947909">
    <w:abstractNumId w:val="31"/>
  </w:num>
  <w:num w:numId="22" w16cid:durableId="1516535081">
    <w:abstractNumId w:val="5"/>
  </w:num>
  <w:num w:numId="23" w16cid:durableId="1631857732">
    <w:abstractNumId w:val="16"/>
  </w:num>
  <w:num w:numId="24" w16cid:durableId="1081027832">
    <w:abstractNumId w:val="17"/>
  </w:num>
  <w:num w:numId="25" w16cid:durableId="1134643663">
    <w:abstractNumId w:val="10"/>
  </w:num>
  <w:num w:numId="26" w16cid:durableId="731468745">
    <w:abstractNumId w:val="9"/>
  </w:num>
  <w:num w:numId="27" w16cid:durableId="674573902">
    <w:abstractNumId w:val="24"/>
  </w:num>
  <w:num w:numId="28" w16cid:durableId="119305203">
    <w:abstractNumId w:val="12"/>
  </w:num>
  <w:num w:numId="29" w16cid:durableId="16734245">
    <w:abstractNumId w:val="18"/>
  </w:num>
  <w:num w:numId="30" w16cid:durableId="1435594198">
    <w:abstractNumId w:val="8"/>
  </w:num>
  <w:num w:numId="31" w16cid:durableId="1581596592">
    <w:abstractNumId w:val="21"/>
  </w:num>
  <w:num w:numId="32" w16cid:durableId="141114918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43C"/>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63B"/>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D7C"/>
    <w:rsid w:val="00290329"/>
    <w:rsid w:val="002904BA"/>
    <w:rsid w:val="00291D6E"/>
    <w:rsid w:val="002945D1"/>
    <w:rsid w:val="00294A1C"/>
    <w:rsid w:val="002952E2"/>
    <w:rsid w:val="002979E0"/>
    <w:rsid w:val="002A0B9E"/>
    <w:rsid w:val="002A29EE"/>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B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yperlink" Target="https://www.opm.gov/policy-data-oversight/pay-leave/salaries-wage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pm.gov/policy-data-oversight/pay-leave/salaries-wage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61DE2-AABC-46C1-BACE-927B9AFBB5A2}">
  <ds:schemaRefs>
    <ds:schemaRef ds:uri="http://schemas.openxmlformats.org/officeDocument/2006/bibliography"/>
  </ds:schemaRefs>
</ds:datastoreItem>
</file>

<file path=customXml/itemProps2.xml><?xml version="1.0" encoding="utf-8"?>
<ds:datastoreItem xmlns:ds="http://schemas.openxmlformats.org/officeDocument/2006/customXml" ds:itemID="{1B464470-4CDC-47FC-8246-69E60A7E7BB0}"/>
</file>

<file path=customXml/itemProps3.xml><?xml version="1.0" encoding="utf-8"?>
<ds:datastoreItem xmlns:ds="http://schemas.openxmlformats.org/officeDocument/2006/customXml" ds:itemID="{3980FF52-8C3A-4057-B62A-835A0832FDDC}"/>
</file>

<file path=customXml/itemProps4.xml><?xml version="1.0" encoding="utf-8"?>
<ds:datastoreItem xmlns:ds="http://schemas.openxmlformats.org/officeDocument/2006/customXml" ds:itemID="{A56E52A7-9C37-481C-8A3C-2B3B12FC94E7}"/>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25209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1</dc:title>
  <dc:subject>Minimum Service Requirements</dc:subject>
  <dc:creator/>
  <cp:lastModifiedBy/>
  <cp:revision>1</cp:revision>
  <cp:lastPrinted>2009-03-11T17:40:00Z</cp:lastPrinted>
  <dcterms:created xsi:type="dcterms:W3CDTF">2020-11-12T16:05:00Z</dcterms:created>
  <dcterms:modified xsi:type="dcterms:W3CDTF">2025-06-11T18:30:00Z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