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E8C7" w14:textId="77777777" w:rsidR="004B3FC7" w:rsidRDefault="004B3FC7" w:rsidP="000A209C">
      <w:pPr>
        <w:spacing w:after="0" w:line="240" w:lineRule="auto"/>
      </w:pPr>
      <w:r>
        <w:separator/>
      </w:r>
    </w:p>
  </w:endnote>
  <w:endnote w:type="continuationSeparator" w:id="0">
    <w:p w14:paraId="1518456F" w14:textId="77777777" w:rsidR="004B3FC7" w:rsidRDefault="004B3FC7"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D877" w14:textId="77777777" w:rsidR="004B3FC7" w:rsidRDefault="004B3FC7" w:rsidP="000A209C">
      <w:pPr>
        <w:spacing w:after="0" w:line="240" w:lineRule="auto"/>
      </w:pPr>
      <w:r>
        <w:separator/>
      </w:r>
    </w:p>
  </w:footnote>
  <w:footnote w:type="continuationSeparator" w:id="0">
    <w:p w14:paraId="0D92062E" w14:textId="77777777" w:rsidR="004B3FC7" w:rsidRDefault="004B3FC7"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035227313">
    <w:abstractNumId w:val="30"/>
  </w:num>
  <w:num w:numId="2" w16cid:durableId="811289528">
    <w:abstractNumId w:val="27"/>
  </w:num>
  <w:num w:numId="3" w16cid:durableId="797183104">
    <w:abstractNumId w:val="13"/>
  </w:num>
  <w:num w:numId="4" w16cid:durableId="932861051">
    <w:abstractNumId w:val="3"/>
  </w:num>
  <w:num w:numId="5" w16cid:durableId="1093235664">
    <w:abstractNumId w:val="16"/>
  </w:num>
  <w:num w:numId="6" w16cid:durableId="1103722023">
    <w:abstractNumId w:val="22"/>
  </w:num>
  <w:num w:numId="7" w16cid:durableId="1027635141">
    <w:abstractNumId w:val="29"/>
  </w:num>
  <w:num w:numId="8" w16cid:durableId="24261054">
    <w:abstractNumId w:val="25"/>
  </w:num>
  <w:num w:numId="9" w16cid:durableId="1158764635">
    <w:abstractNumId w:val="7"/>
  </w:num>
  <w:num w:numId="10" w16cid:durableId="464738445">
    <w:abstractNumId w:val="23"/>
  </w:num>
  <w:num w:numId="11" w16cid:durableId="600526230">
    <w:abstractNumId w:val="32"/>
  </w:num>
  <w:num w:numId="12" w16cid:durableId="1958026881">
    <w:abstractNumId w:val="15"/>
  </w:num>
  <w:num w:numId="13" w16cid:durableId="1903901037">
    <w:abstractNumId w:val="26"/>
  </w:num>
  <w:num w:numId="14" w16cid:durableId="2003776510">
    <w:abstractNumId w:val="14"/>
  </w:num>
  <w:num w:numId="15" w16cid:durableId="1986933147">
    <w:abstractNumId w:val="1"/>
  </w:num>
  <w:num w:numId="16" w16cid:durableId="1803886492">
    <w:abstractNumId w:val="19"/>
  </w:num>
  <w:num w:numId="17" w16cid:durableId="782768664">
    <w:abstractNumId w:val="20"/>
  </w:num>
  <w:num w:numId="18" w16cid:durableId="607396553">
    <w:abstractNumId w:val="9"/>
  </w:num>
  <w:num w:numId="19" w16cid:durableId="385379841">
    <w:abstractNumId w:val="0"/>
  </w:num>
  <w:num w:numId="20" w16cid:durableId="361130500">
    <w:abstractNumId w:val="28"/>
  </w:num>
  <w:num w:numId="21" w16cid:durableId="965040812">
    <w:abstractNumId w:val="8"/>
  </w:num>
  <w:num w:numId="22" w16cid:durableId="107698260">
    <w:abstractNumId w:val="21"/>
  </w:num>
  <w:num w:numId="23" w16cid:durableId="1158887618">
    <w:abstractNumId w:val="17"/>
  </w:num>
  <w:num w:numId="24" w16cid:durableId="1517115707">
    <w:abstractNumId w:val="5"/>
  </w:num>
  <w:num w:numId="25" w16cid:durableId="456610417">
    <w:abstractNumId w:val="31"/>
  </w:num>
  <w:num w:numId="26" w16cid:durableId="1303467551">
    <w:abstractNumId w:val="24"/>
  </w:num>
  <w:num w:numId="27" w16cid:durableId="1924680662">
    <w:abstractNumId w:val="4"/>
  </w:num>
  <w:num w:numId="28" w16cid:durableId="880282216">
    <w:abstractNumId w:val="18"/>
  </w:num>
  <w:num w:numId="29" w16cid:durableId="718895150">
    <w:abstractNumId w:val="12"/>
  </w:num>
  <w:num w:numId="30" w16cid:durableId="698972828">
    <w:abstractNumId w:val="11"/>
  </w:num>
  <w:num w:numId="31" w16cid:durableId="998534116">
    <w:abstractNumId w:val="2"/>
  </w:num>
  <w:num w:numId="32" w16cid:durableId="143814339">
    <w:abstractNumId w:val="10"/>
  </w:num>
  <w:num w:numId="33" w16cid:durableId="822889420">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3FC7"/>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4A64"/>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353"/>
    <w:rsid w:val="00DA7E6E"/>
    <w:rsid w:val="00DB79D6"/>
    <w:rsid w:val="00DE1A53"/>
    <w:rsid w:val="00E00E4A"/>
    <w:rsid w:val="00E01E3F"/>
    <w:rsid w:val="00E2036F"/>
    <w:rsid w:val="00E37B35"/>
    <w:rsid w:val="00E81610"/>
    <w:rsid w:val="00E96E6B"/>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E11CFC-AAE0-48C9-9707-6591110090F8}"/>
</file>

<file path=customXml/itemProps2.xml><?xml version="1.0" encoding="utf-8"?>
<ds:datastoreItem xmlns:ds="http://schemas.openxmlformats.org/officeDocument/2006/customXml" ds:itemID="{18BC8538-7554-4069-BFF7-2DCEA15D4010}"/>
</file>

<file path=customXml/itemProps3.xml><?xml version="1.0" encoding="utf-8"?>
<ds:datastoreItem xmlns:ds="http://schemas.openxmlformats.org/officeDocument/2006/customXml" ds:itemID="{1E95926E-1D5B-44C5-BEE2-6EE30EE555CD}"/>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4 - Managing Entity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