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B4D8" w14:textId="77777777" w:rsidR="00CE3AEA" w:rsidRPr="00CE3AEA" w:rsidRDefault="00CE3AEA" w:rsidP="00CE3AEA">
      <w:pPr>
        <w:spacing w:after="120" w:line="240" w:lineRule="auto"/>
        <w:jc w:val="center"/>
        <w:rPr>
          <w:rFonts w:ascii="Arial" w:eastAsia="Times New Roman" w:hAnsi="Arial" w:cs="Times New Roman"/>
          <w:b/>
          <w:bCs/>
          <w:kern w:val="0"/>
          <w:szCs w:val="20"/>
          <w14:ligatures w14:val="none"/>
        </w:rPr>
      </w:pPr>
      <w:r w:rsidRPr="00CE3AEA">
        <w:rPr>
          <w:rFonts w:ascii="Arial" w:eastAsia="Times New Roman" w:hAnsi="Arial" w:cs="Times New Roman"/>
          <w:b/>
          <w:bCs/>
          <w:kern w:val="0"/>
          <w:szCs w:val="20"/>
          <w14:ligatures w14:val="none"/>
        </w:rPr>
        <w:t>EXHIBIT D – DELIVERABLES</w:t>
      </w:r>
    </w:p>
    <w:p w14:paraId="4507B017"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Service Unit</w:t>
      </w:r>
    </w:p>
    <w:p w14:paraId="52FB324E" w14:textId="77777777" w:rsidR="00CE3AEA" w:rsidRPr="00CE3AEA" w:rsidRDefault="00CE3AEA" w:rsidP="00CE3AEA">
      <w:pPr>
        <w:numPr>
          <w:ilvl w:val="1"/>
          <w:numId w:val="1"/>
        </w:numPr>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The primary service unit is one month of the Managing Entity’s performance of the functions specified in </w:t>
      </w:r>
      <w:r w:rsidRPr="00CE3AEA">
        <w:rPr>
          <w:rFonts w:ascii="Arial" w:eastAsia="Times New Roman" w:hAnsi="Arial" w:cs="Arial"/>
          <w:b/>
          <w:kern w:val="0"/>
          <w14:ligatures w14:val="none"/>
        </w:rPr>
        <w:t>Exhibits C, C1 and C2</w:t>
      </w:r>
      <w:r w:rsidRPr="00CE3AEA">
        <w:rPr>
          <w:rFonts w:ascii="Arial" w:eastAsia="Times New Roman" w:hAnsi="Arial" w:cs="Arial"/>
          <w:kern w:val="0"/>
          <w14:ligatures w14:val="none"/>
        </w:rPr>
        <w:t xml:space="preserve"> and the delivery of Behavioral Health Services detailed in </w:t>
      </w:r>
      <w:r w:rsidRPr="00CE3AEA">
        <w:rPr>
          <w:rFonts w:ascii="Arial" w:eastAsia="Times New Roman" w:hAnsi="Arial" w:cs="Arial"/>
          <w:b/>
          <w:kern w:val="0"/>
          <w14:ligatures w14:val="none"/>
        </w:rPr>
        <w:t>Template 11 – Managing Entity Monthly Progress Report</w:t>
      </w:r>
      <w:r w:rsidRPr="00CE3AEA">
        <w:rPr>
          <w:rFonts w:ascii="Arial" w:eastAsia="Times New Roman" w:hAnsi="Arial" w:cs="Arial"/>
          <w:kern w:val="0"/>
          <w14:ligatures w14:val="none"/>
        </w:rPr>
        <w:t>.</w:t>
      </w:r>
    </w:p>
    <w:p w14:paraId="09C5ACE9" w14:textId="77777777" w:rsidR="00CE3AEA" w:rsidRPr="00CE3AEA" w:rsidRDefault="00CE3AEA" w:rsidP="00CE3AEA">
      <w:pPr>
        <w:numPr>
          <w:ilvl w:val="1"/>
          <w:numId w:val="1"/>
        </w:numPr>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In the event the Department authorizes Disaster Behavioral Health (DBH) Response services, as detailed in </w:t>
      </w:r>
      <w:r w:rsidRPr="00CE3AEA">
        <w:rPr>
          <w:rFonts w:ascii="Arial" w:eastAsia="Times New Roman" w:hAnsi="Arial" w:cs="Arial"/>
          <w:b/>
          <w:kern w:val="0"/>
          <w14:ligatures w14:val="none"/>
        </w:rPr>
        <w:t>Section C.1.6</w:t>
      </w:r>
      <w:r w:rsidRPr="00CE3AEA">
        <w:rPr>
          <w:rFonts w:ascii="Arial" w:eastAsia="Times New Roman" w:hAnsi="Arial" w:cs="Arial"/>
          <w:kern w:val="0"/>
          <w14:ligatures w14:val="none"/>
        </w:rPr>
        <w:t xml:space="preserve">, </w:t>
      </w:r>
    </w:p>
    <w:p w14:paraId="7F872090"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A supplemental service unit is one month of subcontracted DBH services in any county identified by the Department in </w:t>
      </w:r>
      <w:r w:rsidRPr="00CE3AEA">
        <w:rPr>
          <w:rFonts w:ascii="Arial" w:eastAsia="Times New Roman" w:hAnsi="Arial" w:cs="Arial"/>
          <w:b/>
          <w:kern w:val="0"/>
          <w14:ligatures w14:val="none"/>
        </w:rPr>
        <w:t>Exhibit C1</w:t>
      </w:r>
      <w:r w:rsidRPr="00CE3AEA">
        <w:rPr>
          <w:rFonts w:ascii="Arial" w:eastAsia="Times New Roman" w:hAnsi="Arial" w:cs="Arial"/>
          <w:kern w:val="0"/>
          <w14:ligatures w14:val="none"/>
        </w:rPr>
        <w:t xml:space="preserve">. </w:t>
      </w:r>
    </w:p>
    <w:p w14:paraId="7DF91DCF"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Minimum performance for payment is one hour of actual service time documented as detailed in </w:t>
      </w:r>
      <w:r w:rsidRPr="00CE3AEA">
        <w:rPr>
          <w:rFonts w:ascii="Arial" w:eastAsia="Times New Roman" w:hAnsi="Arial" w:cs="Arial"/>
          <w:b/>
          <w:kern w:val="0"/>
          <w14:ligatures w14:val="none"/>
        </w:rPr>
        <w:t xml:space="preserve">Section F.8, </w:t>
      </w:r>
      <w:r w:rsidRPr="00CE3AEA">
        <w:rPr>
          <w:rFonts w:ascii="Arial" w:eastAsia="Times New Roman" w:hAnsi="Arial" w:cs="Arial"/>
          <w:kern w:val="0"/>
          <w14:ligatures w14:val="none"/>
        </w:rPr>
        <w:t xml:space="preserve">using </w:t>
      </w:r>
      <w:r w:rsidRPr="00CE3AEA">
        <w:rPr>
          <w:rFonts w:ascii="Arial" w:eastAsia="Times New Roman" w:hAnsi="Arial" w:cs="Arial"/>
          <w:b/>
          <w:kern w:val="0"/>
          <w14:ligatures w14:val="none"/>
        </w:rPr>
        <w:t>Template 24 - Disaster Behavioral Health Managing Entity Supplemental Invoice and Expenditure Report.</w:t>
      </w:r>
    </w:p>
    <w:p w14:paraId="58F984CF"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General Performance Specifications</w:t>
      </w:r>
    </w:p>
    <w:p w14:paraId="7768E7B7" w14:textId="77777777" w:rsidR="00CE3AEA" w:rsidRPr="00CE3AEA" w:rsidRDefault="00CE3AEA" w:rsidP="00CE3AEA">
      <w:pPr>
        <w:spacing w:before="60" w:after="60" w:line="240" w:lineRule="auto"/>
        <w:contextualSpacing/>
        <w:rPr>
          <w:rFonts w:ascii="Arial" w:eastAsia="Times New Roman" w:hAnsi="Arial" w:cs="Arial"/>
          <w:kern w:val="0"/>
          <w14:ligatures w14:val="none"/>
        </w:rPr>
      </w:pPr>
      <w:r w:rsidRPr="00CE3AEA">
        <w:rPr>
          <w:rFonts w:ascii="Arial" w:eastAsia="Times New Roman" w:hAnsi="Arial" w:cs="Arial"/>
          <w:kern w:val="0"/>
          <w14:ligatures w14:val="none"/>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0E8E549D"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 xml:space="preserve">Performance Measure for Acceptance of Deliverables </w:t>
      </w:r>
    </w:p>
    <w:p w14:paraId="0550CBB4"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To obtain approval of deliverables and services for payment, </w:t>
      </w:r>
    </w:p>
    <w:p w14:paraId="07A36281"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must document monthly progress toward compliance with the performance outcome targets specified in </w:t>
      </w:r>
      <w:r w:rsidRPr="00CE3AEA">
        <w:rPr>
          <w:rFonts w:ascii="Arial" w:eastAsia="Calibri" w:hAnsi="Arial" w:cs="Arial"/>
          <w:b/>
          <w:bCs/>
          <w:kern w:val="0"/>
          <w14:ligatures w14:val="none"/>
        </w:rPr>
        <w:t>Section E.1</w:t>
      </w:r>
      <w:r w:rsidRPr="00CE3AEA">
        <w:rPr>
          <w:rFonts w:ascii="Arial" w:eastAsia="Calibri" w:hAnsi="Arial" w:cs="Arial"/>
          <w:kern w:val="0"/>
          <w14:ligatures w14:val="none"/>
        </w:rPr>
        <w:t xml:space="preserve">; and </w:t>
      </w:r>
    </w:p>
    <w:p w14:paraId="2206A57D"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must document the Network’s monthly progress toward the annual fiscal year service output measure targets in </w:t>
      </w:r>
      <w:r w:rsidRPr="00CE3AEA">
        <w:rPr>
          <w:rFonts w:ascii="Arial" w:eastAsia="Calibri" w:hAnsi="Arial" w:cs="Arial"/>
          <w:b/>
          <w:bCs/>
          <w:kern w:val="0"/>
          <w14:ligatures w14:val="none"/>
        </w:rPr>
        <w:t>Section E.4</w:t>
      </w:r>
      <w:r w:rsidRPr="00CE3AEA">
        <w:rPr>
          <w:rFonts w:ascii="Arial" w:eastAsia="Calibri" w:hAnsi="Arial" w:cs="Arial"/>
          <w:kern w:val="0"/>
          <w14:ligatures w14:val="none"/>
        </w:rPr>
        <w:t>.</w:t>
      </w:r>
    </w:p>
    <w:p w14:paraId="74076FD8"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is responsible and accountable for meeting all performance outcomes measure targets. The Managing Entity shall manage and oversee the collection of data from Network Service Providers </w:t>
      </w:r>
      <w:proofErr w:type="gramStart"/>
      <w:r w:rsidRPr="00CE3AEA">
        <w:rPr>
          <w:rFonts w:ascii="Arial" w:eastAsia="Calibri" w:hAnsi="Arial" w:cs="Arial"/>
          <w:kern w:val="0"/>
          <w14:ligatures w14:val="none"/>
        </w:rPr>
        <w:t>in order to</w:t>
      </w:r>
      <w:proofErr w:type="gramEnd"/>
      <w:r w:rsidRPr="00CE3AEA">
        <w:rPr>
          <w:rFonts w:ascii="Arial" w:eastAsia="Calibri" w:hAnsi="Arial" w:cs="Arial"/>
          <w:kern w:val="0"/>
          <w14:ligatures w14:val="none"/>
        </w:rPr>
        <w:t xml:space="preserve"> assure that targets are met, as a Network.</w:t>
      </w:r>
    </w:p>
    <w:p w14:paraId="5C5A9D97"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The performance measure targets shall be subject to periodic review by the Department and adjustments to the targets or the measures may be recommended as a part of Template 4 – Managing Entity Annual Business Operations Plan.</w:t>
      </w:r>
    </w:p>
    <w:p w14:paraId="1B5C87E5"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47D60E18"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Department performance measure compliance determinations are final. Once performance measures have been calculated using the data submitted in the SAMH Data System, performance data may not be altered or amended. Subsequent performance data submission will not impact the initial performance measure compliance determination.</w:t>
      </w:r>
    </w:p>
    <w:p w14:paraId="79E78781"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Performance Measure Terms</w:t>
      </w:r>
    </w:p>
    <w:p w14:paraId="4246696F" w14:textId="77777777" w:rsidR="00CE3AEA" w:rsidRPr="00CE3AEA" w:rsidRDefault="00CE3AEA" w:rsidP="00CE3AEA">
      <w:pPr>
        <w:spacing w:before="60" w:after="60" w:line="240" w:lineRule="auto"/>
        <w:contextualSpacing/>
        <w:rPr>
          <w:rFonts w:ascii="Arial" w:eastAsia="Times New Roman" w:hAnsi="Arial" w:cs="Arial"/>
          <w:b/>
          <w:kern w:val="0"/>
          <w14:ligatures w14:val="none"/>
        </w:rPr>
      </w:pPr>
      <w:r w:rsidRPr="00CE3AEA">
        <w:rPr>
          <w:rFonts w:ascii="Arial" w:eastAsia="Times New Roman" w:hAnsi="Arial" w:cs="Arial"/>
          <w:kern w:val="0"/>
          <w14:ligatures w14:val="none"/>
        </w:rPr>
        <w:t>PAM 155-2 provides the definitions of the data elements used for various performance measures and contains policies and procedures for submitting the required data into the SAMH Data System.</w:t>
      </w:r>
    </w:p>
    <w:p w14:paraId="22478DAF"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Performance Measure Methodology</w:t>
      </w:r>
    </w:p>
    <w:p w14:paraId="2E133B8E" w14:textId="77777777" w:rsidR="00CE3AEA" w:rsidRPr="00CE3AEA" w:rsidRDefault="00CE3AEA" w:rsidP="00CE3AEA">
      <w:pPr>
        <w:spacing w:before="60" w:after="60" w:line="240" w:lineRule="auto"/>
        <w:contextualSpacing/>
        <w:rPr>
          <w:rFonts w:ascii="Arial" w:eastAsia="Times New Roman" w:hAnsi="Arial" w:cs="Arial"/>
          <w:kern w:val="0"/>
          <w14:ligatures w14:val="none"/>
        </w:rPr>
      </w:pPr>
      <w:r w:rsidRPr="00CE3AEA">
        <w:rPr>
          <w:rFonts w:ascii="Arial" w:eastAsia="Times New Roman" w:hAnsi="Arial" w:cs="Arial"/>
          <w:kern w:val="0"/>
          <w14:ligatures w14:val="none"/>
        </w:rPr>
        <w:t xml:space="preserve">The methodology and algorithms to be used in assessing the Managing Entity’s performance are outlined in </w:t>
      </w:r>
      <w:r w:rsidRPr="00CE3AEA">
        <w:rPr>
          <w:rFonts w:ascii="Arial" w:eastAsia="Times New Roman" w:hAnsi="Arial" w:cs="Arial"/>
          <w:b/>
          <w:kern w:val="0"/>
          <w14:ligatures w14:val="none"/>
        </w:rPr>
        <w:t>Guidance 24 – Performance Outcomes Measurement Manual</w:t>
      </w:r>
      <w:r w:rsidRPr="00CE3AEA">
        <w:rPr>
          <w:rFonts w:ascii="Arial" w:eastAsia="Times New Roman" w:hAnsi="Arial" w:cs="Arial"/>
          <w:kern w:val="0"/>
          <w14:ligatures w14:val="none"/>
        </w:rPr>
        <w:t>.</w:t>
      </w:r>
    </w:p>
    <w:p w14:paraId="617721E1"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19B8"/>
    <w:multiLevelType w:val="multilevel"/>
    <w:tmpl w:val="CFAEE832"/>
    <w:lvl w:ilvl="0">
      <w:start w:val="1"/>
      <w:numFmt w:val="decimal"/>
      <w:lvlText w:val="D.%1"/>
      <w:lvlJc w:val="left"/>
      <w:pPr>
        <w:tabs>
          <w:tab w:val="num" w:pos="554"/>
        </w:tabs>
        <w:ind w:left="540" w:hanging="540"/>
      </w:pPr>
      <w:rPr>
        <w:rFonts w:ascii="Arial" w:hAnsi="Arial" w:hint="default"/>
        <w:b/>
        <w:i w:val="0"/>
        <w:sz w:val="22"/>
      </w:rPr>
    </w:lvl>
    <w:lvl w:ilvl="1">
      <w:start w:val="1"/>
      <w:numFmt w:val="decimal"/>
      <w:lvlText w:val="D.%1.%2"/>
      <w:lvlJc w:val="left"/>
      <w:pPr>
        <w:tabs>
          <w:tab w:val="num" w:pos="720"/>
        </w:tabs>
        <w:ind w:left="720" w:hanging="720"/>
      </w:pPr>
      <w:rPr>
        <w:rFonts w:ascii="Arial" w:hAnsi="Arial" w:hint="default"/>
        <w:b/>
        <w:i w:val="0"/>
        <w:sz w:val="22"/>
      </w:rPr>
    </w:lvl>
    <w:lvl w:ilvl="2">
      <w:start w:val="1"/>
      <w:numFmt w:val="decimal"/>
      <w:lvlText w:val="D.%1.%2.%3"/>
      <w:lvlJc w:val="left"/>
      <w:pPr>
        <w:tabs>
          <w:tab w:val="num" w:pos="1080"/>
        </w:tabs>
        <w:ind w:left="1080" w:hanging="1080"/>
      </w:pPr>
      <w:rPr>
        <w:rFonts w:ascii="Arial" w:hAnsi="Arial" w:hint="default"/>
        <w:b/>
        <w:i w:val="0"/>
        <w:sz w:val="22"/>
      </w:rPr>
    </w:lvl>
    <w:lvl w:ilvl="3">
      <w:start w:val="1"/>
      <w:numFmt w:val="decimal"/>
      <w:lvlText w:val="D.%1.%2.%3.%4"/>
      <w:lvlJc w:val="left"/>
      <w:pPr>
        <w:tabs>
          <w:tab w:val="num" w:pos="1440"/>
        </w:tabs>
        <w:ind w:left="1440" w:hanging="1080"/>
      </w:pPr>
      <w:rPr>
        <w:rFonts w:ascii="Arial" w:hAnsi="Arial" w:hint="default"/>
        <w:b/>
        <w:i w:val="0"/>
        <w:sz w:val="22"/>
      </w:rPr>
    </w:lvl>
    <w:lvl w:ilvl="4">
      <w:start w:val="1"/>
      <w:numFmt w:val="decimal"/>
      <w:lvlText w:val="D.%1.%2.%3.%4.%5"/>
      <w:lvlJc w:val="left"/>
      <w:pPr>
        <w:tabs>
          <w:tab w:val="num" w:pos="2160"/>
        </w:tabs>
        <w:ind w:left="2160" w:hanging="1440"/>
      </w:pPr>
      <w:rPr>
        <w:rFonts w:ascii="Arial" w:hAnsi="Arial" w:hint="default"/>
        <w:b/>
        <w:i w:val="0"/>
        <w:sz w:val="22"/>
      </w:rPr>
    </w:lvl>
    <w:lvl w:ilvl="5">
      <w:start w:val="1"/>
      <w:numFmt w:val="decimal"/>
      <w:lvlText w:val="D.%1.%2.%3.%4.%5.%6"/>
      <w:lvlJc w:val="left"/>
      <w:pPr>
        <w:tabs>
          <w:tab w:val="num" w:pos="2880"/>
        </w:tabs>
        <w:ind w:left="2880" w:hanging="1800"/>
      </w:pPr>
      <w:rPr>
        <w:rFonts w:ascii="Arial" w:hAnsi="Arial" w:hint="default"/>
        <w:b/>
        <w:i w:val="0"/>
        <w:sz w:val="22"/>
      </w:rPr>
    </w:lvl>
    <w:lvl w:ilvl="6">
      <w:start w:val="1"/>
      <w:numFmt w:val="decimal"/>
      <w:lvlText w:val="D.%1.%2.%3.%4.%5.%6.%7"/>
      <w:lvlJc w:val="left"/>
      <w:pPr>
        <w:tabs>
          <w:tab w:val="num" w:pos="3600"/>
        </w:tabs>
        <w:ind w:left="3600" w:hanging="2160"/>
      </w:pPr>
      <w:rPr>
        <w:rFonts w:ascii="Arial" w:hAnsi="Arial" w:hint="default"/>
        <w:b/>
        <w:i w:val="0"/>
        <w:sz w:val="22"/>
      </w:rPr>
    </w:lvl>
    <w:lvl w:ilvl="7">
      <w:start w:val="1"/>
      <w:numFmt w:val="decimal"/>
      <w:lvlText w:val="D.%1.%2.%3.%4.%5.%6.%7.%8"/>
      <w:lvlJc w:val="left"/>
      <w:pPr>
        <w:ind w:left="1800" w:firstLine="0"/>
      </w:pPr>
      <w:rPr>
        <w:rFonts w:ascii="Arial" w:hAnsi="Arial" w:hint="default"/>
        <w:b/>
        <w:i w:val="0"/>
        <w:sz w:val="22"/>
      </w:rPr>
    </w:lvl>
    <w:lvl w:ilvl="8">
      <w:start w:val="1"/>
      <w:numFmt w:val="decimal"/>
      <w:lvlText w:val="D.%1.%2.%3.%4.%5.%6.%7.%8.%9."/>
      <w:lvlJc w:val="left"/>
      <w:pPr>
        <w:ind w:left="2160" w:firstLine="0"/>
      </w:pPr>
      <w:rPr>
        <w:rFonts w:ascii="Arial" w:hAnsi="Arial" w:hint="default"/>
        <w:b/>
        <w:i w:val="0"/>
        <w:sz w:val="22"/>
      </w:rPr>
    </w:lvl>
  </w:abstractNum>
  <w:num w:numId="1" w16cid:durableId="37095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EA"/>
    <w:rsid w:val="002233EE"/>
    <w:rsid w:val="004F5DE8"/>
    <w:rsid w:val="006C5B5F"/>
    <w:rsid w:val="009956AB"/>
    <w:rsid w:val="00CE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9B7C"/>
  <w15:chartTrackingRefBased/>
  <w15:docId w15:val="{995E8706-F3B3-4AD3-8DDD-3FB7772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AEA"/>
    <w:rPr>
      <w:rFonts w:eastAsiaTheme="majorEastAsia" w:cstheme="majorBidi"/>
      <w:color w:val="272727" w:themeColor="text1" w:themeTint="D8"/>
    </w:rPr>
  </w:style>
  <w:style w:type="paragraph" w:styleId="Title">
    <w:name w:val="Title"/>
    <w:basedOn w:val="Normal"/>
    <w:next w:val="Normal"/>
    <w:link w:val="TitleChar"/>
    <w:uiPriority w:val="10"/>
    <w:qFormat/>
    <w:rsid w:val="00CE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AEA"/>
    <w:pPr>
      <w:spacing w:before="160"/>
      <w:jc w:val="center"/>
    </w:pPr>
    <w:rPr>
      <w:i/>
      <w:iCs/>
      <w:color w:val="404040" w:themeColor="text1" w:themeTint="BF"/>
    </w:rPr>
  </w:style>
  <w:style w:type="character" w:customStyle="1" w:styleId="QuoteChar">
    <w:name w:val="Quote Char"/>
    <w:basedOn w:val="DefaultParagraphFont"/>
    <w:link w:val="Quote"/>
    <w:uiPriority w:val="29"/>
    <w:rsid w:val="00CE3AEA"/>
    <w:rPr>
      <w:i/>
      <w:iCs/>
      <w:color w:val="404040" w:themeColor="text1" w:themeTint="BF"/>
    </w:rPr>
  </w:style>
  <w:style w:type="paragraph" w:styleId="ListParagraph">
    <w:name w:val="List Paragraph"/>
    <w:basedOn w:val="Normal"/>
    <w:uiPriority w:val="34"/>
    <w:qFormat/>
    <w:rsid w:val="00CE3AEA"/>
    <w:pPr>
      <w:ind w:left="720"/>
      <w:contextualSpacing/>
    </w:pPr>
  </w:style>
  <w:style w:type="character" w:styleId="IntenseEmphasis">
    <w:name w:val="Intense Emphasis"/>
    <w:basedOn w:val="DefaultParagraphFont"/>
    <w:uiPriority w:val="21"/>
    <w:qFormat/>
    <w:rsid w:val="00CE3AEA"/>
    <w:rPr>
      <w:i/>
      <w:iCs/>
      <w:color w:val="0F4761" w:themeColor="accent1" w:themeShade="BF"/>
    </w:rPr>
  </w:style>
  <w:style w:type="paragraph" w:styleId="IntenseQuote">
    <w:name w:val="Intense Quote"/>
    <w:basedOn w:val="Normal"/>
    <w:next w:val="Normal"/>
    <w:link w:val="IntenseQuoteChar"/>
    <w:uiPriority w:val="30"/>
    <w:qFormat/>
    <w:rsid w:val="00CE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AEA"/>
    <w:rPr>
      <w:i/>
      <w:iCs/>
      <w:color w:val="0F4761" w:themeColor="accent1" w:themeShade="BF"/>
    </w:rPr>
  </w:style>
  <w:style w:type="character" w:styleId="IntenseReference">
    <w:name w:val="Intense Reference"/>
    <w:basedOn w:val="DefaultParagraphFont"/>
    <w:uiPriority w:val="32"/>
    <w:qFormat/>
    <w:rsid w:val="00CE3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5AFFE-0491-44F1-BB38-068A60F43701}"/>
</file>

<file path=customXml/itemProps2.xml><?xml version="1.0" encoding="utf-8"?>
<ds:datastoreItem xmlns:ds="http://schemas.openxmlformats.org/officeDocument/2006/customXml" ds:itemID="{6CD2A836-B988-46C3-829C-C75C7FC56691}"/>
</file>

<file path=customXml/itemProps3.xml><?xml version="1.0" encoding="utf-8"?>
<ds:datastoreItem xmlns:ds="http://schemas.openxmlformats.org/officeDocument/2006/customXml" ds:itemID="{A08D1BA8-F7EF-4EF4-B463-03423D4881BB}"/>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1</cp:revision>
  <dcterms:created xsi:type="dcterms:W3CDTF">2025-06-27T20:40:00Z</dcterms:created>
  <dcterms:modified xsi:type="dcterms:W3CDTF">2025-06-27T20:42:00Z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