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A603C" w14:textId="77777777" w:rsidR="001F20EB" w:rsidRPr="000B529A" w:rsidRDefault="001F20EB" w:rsidP="001F20EB">
      <w:pPr>
        <w:ind w:left="0"/>
        <w:jc w:val="center"/>
        <w:rPr>
          <w:rFonts w:ascii="Arial Narrow" w:hAnsi="Arial Narrow"/>
        </w:rPr>
      </w:pPr>
      <w:r w:rsidRPr="000B529A">
        <w:rPr>
          <w:rFonts w:ascii="Arial Narrow" w:hAnsi="Arial Narrow"/>
          <w:b/>
        </w:rPr>
        <w:t xml:space="preserve">EXHIBIT D </w:t>
      </w:r>
      <w:r w:rsidR="00D724BB">
        <w:rPr>
          <w:rFonts w:ascii="Arial Narrow" w:hAnsi="Arial Narrow"/>
          <w:b/>
        </w:rPr>
        <w:t>– D</w:t>
      </w:r>
      <w:r w:rsidRPr="000B529A">
        <w:rPr>
          <w:rFonts w:ascii="Arial Narrow" w:hAnsi="Arial Narrow"/>
          <w:b/>
        </w:rPr>
        <w:t>ELIVERABLES</w:t>
      </w:r>
    </w:p>
    <w:p w14:paraId="550ABAA2" w14:textId="77777777" w:rsidR="001F20EB" w:rsidRPr="000B529A" w:rsidRDefault="001F20EB" w:rsidP="001F20EB">
      <w:pPr>
        <w:numPr>
          <w:ilvl w:val="0"/>
          <w:numId w:val="5"/>
        </w:numPr>
        <w:rPr>
          <w:rFonts w:ascii="Arial Narrow" w:hAnsi="Arial Narrow"/>
          <w:b/>
        </w:rPr>
      </w:pPr>
      <w:r w:rsidRPr="000B529A">
        <w:rPr>
          <w:rFonts w:ascii="Arial Narrow" w:hAnsi="Arial Narrow"/>
          <w:b/>
        </w:rPr>
        <w:t>Service Unit</w:t>
      </w:r>
    </w:p>
    <w:p w14:paraId="17A6B4B7" w14:textId="77777777" w:rsidR="001F20EB" w:rsidRDefault="00B73100" w:rsidP="00B73100">
      <w:pPr>
        <w:numPr>
          <w:ilvl w:val="1"/>
          <w:numId w:val="5"/>
        </w:numPr>
        <w:tabs>
          <w:tab w:val="num" w:pos="936"/>
        </w:tabs>
        <w:ind w:left="720"/>
        <w:rPr>
          <w:rFonts w:ascii="Arial Narrow" w:hAnsi="Arial Narrow"/>
        </w:rPr>
      </w:pPr>
      <w:r>
        <w:rPr>
          <w:rFonts w:ascii="Arial Narrow" w:hAnsi="Arial Narrow"/>
        </w:rPr>
        <w:t>The primary</w:t>
      </w:r>
      <w:r w:rsidRPr="000B529A">
        <w:rPr>
          <w:rFonts w:ascii="Arial Narrow" w:hAnsi="Arial Narrow"/>
        </w:rPr>
        <w:t xml:space="preserve"> </w:t>
      </w:r>
      <w:r w:rsidR="001F20EB" w:rsidRPr="000B529A">
        <w:rPr>
          <w:rFonts w:ascii="Arial Narrow" w:hAnsi="Arial Narrow"/>
        </w:rPr>
        <w:t xml:space="preserve">service unit is one month of the Managing Entity’s performance of the functions specified in </w:t>
      </w:r>
      <w:r w:rsidR="001F20EB" w:rsidRPr="00B73100">
        <w:rPr>
          <w:rFonts w:ascii="Arial Narrow" w:hAnsi="Arial Narrow"/>
          <w:b/>
        </w:rPr>
        <w:t>Exhibit</w:t>
      </w:r>
      <w:r w:rsidR="00EE73CC" w:rsidRPr="00B73100">
        <w:rPr>
          <w:rFonts w:ascii="Arial Narrow" w:hAnsi="Arial Narrow"/>
          <w:b/>
        </w:rPr>
        <w:t>s</w:t>
      </w:r>
      <w:r w:rsidR="001F20EB" w:rsidRPr="00B73100">
        <w:rPr>
          <w:rFonts w:ascii="Arial Narrow" w:hAnsi="Arial Narrow"/>
          <w:b/>
        </w:rPr>
        <w:t xml:space="preserve"> C</w:t>
      </w:r>
      <w:r w:rsidR="00EE73CC" w:rsidRPr="00B73100">
        <w:rPr>
          <w:rFonts w:ascii="Arial Narrow" w:hAnsi="Arial Narrow"/>
          <w:b/>
        </w:rPr>
        <w:t>, C1 and C2</w:t>
      </w:r>
      <w:r w:rsidR="00EE73CC" w:rsidRPr="000B529A">
        <w:rPr>
          <w:rFonts w:ascii="Arial Narrow" w:hAnsi="Arial Narrow"/>
        </w:rPr>
        <w:t xml:space="preserve"> </w:t>
      </w:r>
      <w:r w:rsidR="00EE73CC">
        <w:rPr>
          <w:rFonts w:ascii="Arial Narrow" w:hAnsi="Arial Narrow"/>
        </w:rPr>
        <w:t>and</w:t>
      </w:r>
      <w:r w:rsidR="001F20EB" w:rsidRPr="000B529A">
        <w:rPr>
          <w:rFonts w:ascii="Arial Narrow" w:hAnsi="Arial Narrow"/>
        </w:rPr>
        <w:t xml:space="preserve"> the delivery of </w:t>
      </w:r>
      <w:r w:rsidR="00EE73CC">
        <w:rPr>
          <w:rFonts w:ascii="Arial Narrow" w:hAnsi="Arial Narrow"/>
        </w:rPr>
        <w:t>B</w:t>
      </w:r>
      <w:r w:rsidR="001F20EB" w:rsidRPr="000B529A">
        <w:rPr>
          <w:rFonts w:ascii="Arial Narrow" w:hAnsi="Arial Narrow"/>
        </w:rPr>
        <w:t xml:space="preserve">ehavioral </w:t>
      </w:r>
      <w:r w:rsidR="00EE73CC">
        <w:rPr>
          <w:rFonts w:ascii="Arial Narrow" w:hAnsi="Arial Narrow"/>
        </w:rPr>
        <w:t>H</w:t>
      </w:r>
      <w:r w:rsidR="001F20EB" w:rsidRPr="000B529A">
        <w:rPr>
          <w:rFonts w:ascii="Arial Narrow" w:hAnsi="Arial Narrow"/>
        </w:rPr>
        <w:t xml:space="preserve">ealth </w:t>
      </w:r>
      <w:r w:rsidR="00EE73CC">
        <w:rPr>
          <w:rFonts w:ascii="Arial Narrow" w:hAnsi="Arial Narrow"/>
        </w:rPr>
        <w:t>S</w:t>
      </w:r>
      <w:r w:rsidR="001F20EB" w:rsidRPr="000B529A">
        <w:rPr>
          <w:rFonts w:ascii="Arial Narrow" w:hAnsi="Arial Narrow"/>
        </w:rPr>
        <w:t xml:space="preserve">ervices detailed in </w:t>
      </w:r>
      <w:r w:rsidR="001F20EB" w:rsidRPr="00B73100">
        <w:rPr>
          <w:rFonts w:ascii="Arial Narrow" w:hAnsi="Arial Narrow"/>
          <w:b/>
        </w:rPr>
        <w:t xml:space="preserve">Template </w:t>
      </w:r>
      <w:r w:rsidR="00F9022C" w:rsidRPr="00B73100">
        <w:rPr>
          <w:rFonts w:ascii="Arial Narrow" w:hAnsi="Arial Narrow"/>
          <w:b/>
        </w:rPr>
        <w:t>11</w:t>
      </w:r>
      <w:r w:rsidR="00AD0587" w:rsidRPr="00B73100">
        <w:rPr>
          <w:rFonts w:ascii="Arial Narrow" w:hAnsi="Arial Narrow"/>
          <w:b/>
        </w:rPr>
        <w:t xml:space="preserve"> </w:t>
      </w:r>
      <w:r w:rsidR="001F20EB" w:rsidRPr="00B73100">
        <w:rPr>
          <w:rFonts w:ascii="Arial Narrow" w:hAnsi="Arial Narrow"/>
          <w:b/>
        </w:rPr>
        <w:t>– Managing Entity Monthly Progress Report</w:t>
      </w:r>
      <w:r w:rsidR="001F20EB" w:rsidRPr="00B73100">
        <w:rPr>
          <w:rFonts w:ascii="Arial Narrow" w:hAnsi="Arial Narrow"/>
        </w:rPr>
        <w:t>.</w:t>
      </w:r>
    </w:p>
    <w:p w14:paraId="716F9E7A" w14:textId="77777777" w:rsidR="00B06CB5" w:rsidRDefault="00B73100" w:rsidP="00516BC5">
      <w:pPr>
        <w:numPr>
          <w:ilvl w:val="1"/>
          <w:numId w:val="5"/>
        </w:numPr>
        <w:ind w:left="720"/>
        <w:rPr>
          <w:rFonts w:ascii="Arial Narrow" w:hAnsi="Arial Narrow"/>
        </w:rPr>
      </w:pPr>
      <w:r>
        <w:rPr>
          <w:rFonts w:ascii="Arial Narrow" w:hAnsi="Arial Narrow"/>
        </w:rPr>
        <w:t xml:space="preserve">In the event the Department authorizes Disaster Behavioral Health (DBH) Response services, as detailed in </w:t>
      </w:r>
      <w:r w:rsidRPr="00516BC5">
        <w:rPr>
          <w:rFonts w:ascii="Arial Narrow" w:hAnsi="Arial Narrow"/>
          <w:b/>
        </w:rPr>
        <w:t>Section C-1.</w:t>
      </w:r>
      <w:r w:rsidR="00406D77">
        <w:rPr>
          <w:rFonts w:ascii="Arial Narrow" w:hAnsi="Arial Narrow"/>
          <w:b/>
        </w:rPr>
        <w:t>6</w:t>
      </w:r>
      <w:r>
        <w:rPr>
          <w:rFonts w:ascii="Arial Narrow" w:hAnsi="Arial Narrow"/>
        </w:rPr>
        <w:t xml:space="preserve">, </w:t>
      </w:r>
    </w:p>
    <w:p w14:paraId="621FB1E5" w14:textId="77777777" w:rsidR="00B06CB5" w:rsidRDefault="00BD1258" w:rsidP="00B06CB5">
      <w:pPr>
        <w:numPr>
          <w:ilvl w:val="2"/>
          <w:numId w:val="5"/>
        </w:numPr>
        <w:ind w:left="1440"/>
        <w:rPr>
          <w:rFonts w:ascii="Arial Narrow" w:hAnsi="Arial Narrow"/>
        </w:rPr>
      </w:pPr>
      <w:r>
        <w:rPr>
          <w:rFonts w:ascii="Arial Narrow" w:hAnsi="Arial Narrow"/>
        </w:rPr>
        <w:t xml:space="preserve">A </w:t>
      </w:r>
      <w:r w:rsidR="00516BC5">
        <w:rPr>
          <w:rFonts w:ascii="Arial Narrow" w:hAnsi="Arial Narrow"/>
        </w:rPr>
        <w:t xml:space="preserve">supplemental service unit is one month of subcontracted DBH services in any county identified by the Department in </w:t>
      </w:r>
      <w:r w:rsidR="00516BC5" w:rsidRPr="00516BC5">
        <w:rPr>
          <w:rFonts w:ascii="Arial Narrow" w:hAnsi="Arial Narrow"/>
          <w:b/>
        </w:rPr>
        <w:t>Exhibit C2</w:t>
      </w:r>
      <w:r w:rsidR="00516BC5">
        <w:rPr>
          <w:rFonts w:ascii="Arial Narrow" w:hAnsi="Arial Narrow"/>
        </w:rPr>
        <w:t xml:space="preserve">. </w:t>
      </w:r>
    </w:p>
    <w:p w14:paraId="74F87687" w14:textId="77777777" w:rsidR="00B73100" w:rsidRPr="00B73100" w:rsidRDefault="00516BC5" w:rsidP="00B06CB5">
      <w:pPr>
        <w:numPr>
          <w:ilvl w:val="2"/>
          <w:numId w:val="5"/>
        </w:numPr>
        <w:ind w:left="1440"/>
        <w:rPr>
          <w:rFonts w:ascii="Arial Narrow" w:hAnsi="Arial Narrow"/>
        </w:rPr>
      </w:pPr>
      <w:r>
        <w:rPr>
          <w:rFonts w:ascii="Arial Narrow" w:hAnsi="Arial Narrow"/>
        </w:rPr>
        <w:t xml:space="preserve">Minimum performance for payment is one hour of actual service time documented as detailed in </w:t>
      </w:r>
      <w:r w:rsidRPr="00516BC5">
        <w:rPr>
          <w:rFonts w:ascii="Arial Narrow" w:hAnsi="Arial Narrow"/>
          <w:b/>
        </w:rPr>
        <w:t>Section F-8</w:t>
      </w:r>
      <w:r>
        <w:rPr>
          <w:rFonts w:ascii="Arial Narrow" w:hAnsi="Arial Narrow"/>
          <w:b/>
        </w:rPr>
        <w:t xml:space="preserve">, </w:t>
      </w:r>
      <w:r w:rsidRPr="00776A41">
        <w:rPr>
          <w:rFonts w:ascii="Arial Narrow" w:hAnsi="Arial Narrow"/>
        </w:rPr>
        <w:t xml:space="preserve">using </w:t>
      </w:r>
      <w:r>
        <w:rPr>
          <w:rFonts w:ascii="Arial Narrow" w:hAnsi="Arial Narrow"/>
          <w:b/>
        </w:rPr>
        <w:t xml:space="preserve">Template 24 </w:t>
      </w:r>
      <w:r w:rsidRPr="00516BC5">
        <w:rPr>
          <w:rFonts w:ascii="Arial Narrow" w:hAnsi="Arial Narrow"/>
          <w:b/>
        </w:rPr>
        <w:t>- Disaster Behavioral Health Managing Entity Supplemental Invoice and Expenditure Report</w:t>
      </w:r>
      <w:r>
        <w:rPr>
          <w:rFonts w:ascii="Arial Narrow" w:hAnsi="Arial Narrow"/>
          <w:b/>
        </w:rPr>
        <w:t>.</w:t>
      </w:r>
    </w:p>
    <w:p w14:paraId="7AE81F29" w14:textId="77777777" w:rsidR="001F20EB" w:rsidRPr="000B529A" w:rsidRDefault="001F20EB" w:rsidP="001F20EB">
      <w:pPr>
        <w:numPr>
          <w:ilvl w:val="0"/>
          <w:numId w:val="5"/>
        </w:numPr>
        <w:rPr>
          <w:rFonts w:ascii="Arial Narrow" w:hAnsi="Arial Narrow"/>
          <w:b/>
        </w:rPr>
      </w:pPr>
      <w:r w:rsidRPr="000B529A">
        <w:rPr>
          <w:rFonts w:ascii="Arial Narrow" w:hAnsi="Arial Narrow"/>
          <w:b/>
        </w:rPr>
        <w:t>General Performance Specifications</w:t>
      </w:r>
    </w:p>
    <w:p w14:paraId="36006D7E" w14:textId="77777777" w:rsidR="001F20EB" w:rsidRPr="000B529A" w:rsidRDefault="001F20EB" w:rsidP="001F20EB">
      <w:pPr>
        <w:ind w:left="0"/>
        <w:rPr>
          <w:rFonts w:ascii="Arial Narrow" w:hAnsi="Arial Narrow"/>
        </w:rPr>
      </w:pPr>
      <w:r w:rsidRPr="000B529A">
        <w:rPr>
          <w:rFonts w:ascii="Arial Narrow" w:hAnsi="Arial Narrow"/>
        </w:rPr>
        <w:t>The Managing Entity shall be solely and uniquely responsible for the satisfactory performance of the tasks described in this Contract. By execution of this Contract, the Managing Entity assumes responsibility for the tasks, activities, and deliverables described herein; and warrants that it fully understands all relevant factors affecting accomplishment of the tasks, activities, and deliverables; and agrees to be fully accountable for the performance thereof whether performed by the Managing Entity or its Network Service Providers.</w:t>
      </w:r>
    </w:p>
    <w:p w14:paraId="49754F84"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Measures for Acceptance of Deliverables</w:t>
      </w:r>
    </w:p>
    <w:p w14:paraId="34786581"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To obtain approval of deliverables and services for payment, </w:t>
      </w:r>
    </w:p>
    <w:p w14:paraId="09DAC495"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monthly progress toward compliance with the performance outcome targets specified in </w:t>
      </w:r>
      <w:r w:rsidRPr="000B529A">
        <w:rPr>
          <w:rFonts w:ascii="Arial Narrow" w:hAnsi="Arial Narrow"/>
          <w:b/>
        </w:rPr>
        <w:t>Section E-1</w:t>
      </w:r>
      <w:r w:rsidRPr="000B529A">
        <w:rPr>
          <w:rFonts w:ascii="Arial Narrow" w:hAnsi="Arial Narrow"/>
        </w:rPr>
        <w:t xml:space="preserve">, and </w:t>
      </w:r>
    </w:p>
    <w:p w14:paraId="28B43CE1"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the Network’s monthly progress toward the annual fiscal year service output measure targets in </w:t>
      </w:r>
      <w:r w:rsidRPr="00EE73CC">
        <w:rPr>
          <w:rFonts w:ascii="Arial Narrow" w:hAnsi="Arial Narrow"/>
          <w:b/>
        </w:rPr>
        <w:t xml:space="preserve">Section </w:t>
      </w:r>
      <w:r w:rsidR="00EE73CC">
        <w:rPr>
          <w:rFonts w:ascii="Arial Narrow" w:hAnsi="Arial Narrow"/>
          <w:b/>
        </w:rPr>
        <w:t>E</w:t>
      </w:r>
      <w:r w:rsidRPr="00EE73CC">
        <w:rPr>
          <w:rFonts w:ascii="Arial Narrow" w:hAnsi="Arial Narrow"/>
          <w:b/>
        </w:rPr>
        <w:t>-3</w:t>
      </w:r>
      <w:r w:rsidRPr="000B529A">
        <w:rPr>
          <w:rFonts w:ascii="Arial Narrow" w:hAnsi="Arial Narrow"/>
        </w:rPr>
        <w:t xml:space="preserve">.  </w:t>
      </w:r>
    </w:p>
    <w:p w14:paraId="259058C9"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is responsible and accountable for meeting all performance outcomes measure targets. The Managing Entity shall manage and oversee the collection of data from Network Service Providers in order to assure that targets are met, as a Network.</w:t>
      </w:r>
    </w:p>
    <w:p w14:paraId="2DAAD0B7"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The performance measure targets shall be subject to periodic review by the Department and adjustments to the targets or the measures may be recommended as a part of </w:t>
      </w:r>
      <w:r w:rsidR="00EE73CC" w:rsidRPr="00EE73CC">
        <w:rPr>
          <w:rFonts w:ascii="Arial Narrow" w:hAnsi="Arial Narrow"/>
          <w:b/>
        </w:rPr>
        <w:t xml:space="preserve">Template 4 – </w:t>
      </w:r>
      <w:r w:rsidRPr="00EE73CC">
        <w:rPr>
          <w:rFonts w:ascii="Arial Narrow" w:hAnsi="Arial Narrow"/>
          <w:b/>
        </w:rPr>
        <w:t>M</w:t>
      </w:r>
      <w:r w:rsidR="00EE73CC">
        <w:rPr>
          <w:rFonts w:ascii="Arial Narrow" w:hAnsi="Arial Narrow"/>
          <w:b/>
        </w:rPr>
        <w:t xml:space="preserve">anaging </w:t>
      </w:r>
      <w:r w:rsidRPr="00EE73CC">
        <w:rPr>
          <w:rFonts w:ascii="Arial Narrow" w:hAnsi="Arial Narrow"/>
          <w:b/>
        </w:rPr>
        <w:t>E</w:t>
      </w:r>
      <w:r w:rsidR="00EE73CC">
        <w:rPr>
          <w:rFonts w:ascii="Arial Narrow" w:hAnsi="Arial Narrow"/>
          <w:b/>
        </w:rPr>
        <w:t>ntity</w:t>
      </w:r>
      <w:r w:rsidRPr="00EE73CC">
        <w:rPr>
          <w:rFonts w:ascii="Arial Narrow" w:hAnsi="Arial Narrow"/>
          <w:b/>
        </w:rPr>
        <w:t xml:space="preserve"> Annual Business Operations Plan</w:t>
      </w:r>
      <w:r w:rsidRPr="000B529A">
        <w:rPr>
          <w:rFonts w:ascii="Arial Narrow" w:hAnsi="Arial Narrow"/>
        </w:rPr>
        <w:t>.</w:t>
      </w:r>
    </w:p>
    <w:p w14:paraId="0D15D114"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agrees that the SAMH Data System will be the source for all data used to determine compliance with performance measures. Performance of Network Service Providers shall be monitored and tracked by the Managing Entity. The Managing Entity shall provide applicable technical assistance to Network Service Providers and initiate corrective actions, as required, and will report to the Department.</w:t>
      </w:r>
    </w:p>
    <w:p w14:paraId="1902A284"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Terms</w:t>
      </w:r>
    </w:p>
    <w:p w14:paraId="152168EA" w14:textId="77777777" w:rsidR="001F20EB" w:rsidRPr="000B529A" w:rsidRDefault="001F20EB" w:rsidP="001F20EB">
      <w:pPr>
        <w:ind w:left="0"/>
        <w:rPr>
          <w:rFonts w:ascii="Arial Narrow" w:hAnsi="Arial Narrow"/>
          <w:b/>
        </w:rPr>
      </w:pPr>
      <w:r w:rsidRPr="00EE73CC">
        <w:rPr>
          <w:rFonts w:ascii="Arial Narrow" w:hAnsi="Arial Narrow"/>
        </w:rPr>
        <w:t>PAM 155-2</w:t>
      </w:r>
      <w:r w:rsidRPr="000B529A">
        <w:rPr>
          <w:rFonts w:ascii="Arial Narrow" w:hAnsi="Arial Narrow"/>
        </w:rPr>
        <w:t xml:space="preserve"> provides the definitions of the data elements used for various performance measures and contains policies and procedures for submitting the required data into the SAMH Data System.</w:t>
      </w:r>
    </w:p>
    <w:p w14:paraId="3DC28D02"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Methodology</w:t>
      </w:r>
    </w:p>
    <w:p w14:paraId="6BA861D0" w14:textId="77777777" w:rsidR="00BF2307" w:rsidRPr="000B529A" w:rsidRDefault="001F20EB" w:rsidP="009777F2">
      <w:pPr>
        <w:ind w:left="0"/>
      </w:pPr>
      <w:r w:rsidRPr="000B529A">
        <w:rPr>
          <w:rFonts w:ascii="Arial Narrow" w:hAnsi="Arial Narrow"/>
        </w:rPr>
        <w:t xml:space="preserve">The methodology and algorithms to be used in assessing the Managing Entity’s performance are outlined in </w:t>
      </w:r>
      <w:r w:rsidRPr="000B529A">
        <w:rPr>
          <w:rFonts w:ascii="Arial Narrow" w:hAnsi="Arial Narrow"/>
          <w:b/>
        </w:rPr>
        <w:t xml:space="preserve">Guidance </w:t>
      </w:r>
      <w:r w:rsidR="00F9022C">
        <w:rPr>
          <w:rFonts w:ascii="Arial Narrow" w:hAnsi="Arial Narrow"/>
          <w:b/>
        </w:rPr>
        <w:t>24</w:t>
      </w:r>
      <w:r w:rsidR="00F9022C" w:rsidRPr="000B529A">
        <w:rPr>
          <w:rFonts w:ascii="Arial Narrow" w:hAnsi="Arial Narrow"/>
          <w:b/>
        </w:rPr>
        <w:t xml:space="preserve"> </w:t>
      </w:r>
      <w:r w:rsidRPr="000B529A">
        <w:rPr>
          <w:rFonts w:ascii="Arial Narrow" w:hAnsi="Arial Narrow"/>
          <w:b/>
        </w:rPr>
        <w:t>– Performance Outcomes Measurement Manual</w:t>
      </w:r>
      <w:r w:rsidRPr="000B529A">
        <w:rPr>
          <w:rFonts w:ascii="Arial Narrow" w:hAnsi="Arial Narrow"/>
        </w:rPr>
        <w:t>.</w:t>
      </w:r>
    </w:p>
    <w:sectPr w:rsidR="00BF2307" w:rsidRPr="000B529A" w:rsidSect="00333B93">
      <w:headerReference w:type="default" r:id="rId8"/>
      <w:footerReference w:type="default" r:id="rId9"/>
      <w:pgSz w:w="12240" w:h="15840"/>
      <w:pgMar w:top="1440" w:right="1440" w:bottom="1440" w:left="1440"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EC64" w14:textId="77777777" w:rsidR="009B0160" w:rsidRDefault="009B0160" w:rsidP="00DC7393">
      <w:pPr>
        <w:spacing w:before="0" w:after="0"/>
      </w:pPr>
      <w:r>
        <w:separator/>
      </w:r>
    </w:p>
  </w:endnote>
  <w:endnote w:type="continuationSeparator" w:id="0">
    <w:p w14:paraId="3C237F03" w14:textId="77777777" w:rsidR="009B0160" w:rsidRDefault="009B0160"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1DFC" w14:textId="77777777" w:rsidR="00F9022C" w:rsidRPr="00F9022C" w:rsidRDefault="00F9022C" w:rsidP="00F9022C">
    <w:pPr>
      <w:tabs>
        <w:tab w:val="center" w:pos="4680"/>
        <w:tab w:val="right" w:pos="9360"/>
      </w:tabs>
      <w:spacing w:before="0" w:after="0"/>
      <w:ind w:left="0"/>
      <w:rPr>
        <w:rFonts w:ascii="Arial Narrow" w:eastAsia="Times New Roman" w:hAnsi="Arial Narrow" w:cs="Times New Roman"/>
        <w:b/>
      </w:rPr>
    </w:pPr>
    <w:r w:rsidRPr="00F9022C">
      <w:rPr>
        <w:rFonts w:ascii="Arial Narrow" w:eastAsia="Times New Roman" w:hAnsi="Arial Narrow" w:cs="Times New Roman"/>
        <w:b/>
        <w:lang w:val="x-none"/>
      </w:rPr>
      <w:t xml:space="preserve">CF </w:t>
    </w:r>
    <w:r w:rsidRPr="00F9022C">
      <w:rPr>
        <w:rFonts w:ascii="Arial Narrow" w:eastAsia="Times New Roman" w:hAnsi="Arial Narrow" w:cs="Times New Roman"/>
        <w:b/>
      </w:rPr>
      <w:t>Standard</w:t>
    </w:r>
    <w:r w:rsidR="00FC7010">
      <w:rPr>
        <w:rFonts w:ascii="Arial Narrow" w:eastAsia="Times New Roman" w:hAnsi="Arial Narrow" w:cs="Times New Roman"/>
        <w:b/>
      </w:rPr>
      <w:t xml:space="preserve"> Contract 2019</w:t>
    </w:r>
  </w:p>
  <w:p w14:paraId="6103FD8C" w14:textId="77777777" w:rsidR="00DC7393" w:rsidRPr="00333B93" w:rsidRDefault="00FC7010" w:rsidP="00F9022C">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r w:rsidR="00F9022C" w:rsidRPr="00F9022C">
      <w:rPr>
        <w:rFonts w:ascii="Arial Narrow" w:eastAsia="Times New Roman" w:hAnsi="Arial Narrow" w:cs="Times New Roman"/>
        <w:b/>
        <w:lang w:val="x-none"/>
      </w:rPr>
      <w:tab/>
    </w:r>
    <w:r w:rsidR="00F9022C" w:rsidRPr="00F9022C">
      <w:rPr>
        <w:rFonts w:ascii="Arial Narrow" w:eastAsia="Times New Roman" w:hAnsi="Arial Narrow" w:cs="Times New Roman"/>
        <w:b/>
        <w:lang w:val="x-none"/>
      </w:rPr>
      <w:fldChar w:fldCharType="begin"/>
    </w:r>
    <w:r w:rsidR="00F9022C" w:rsidRPr="00F9022C">
      <w:rPr>
        <w:rFonts w:ascii="Arial Narrow" w:eastAsia="Times New Roman" w:hAnsi="Arial Narrow" w:cs="Times New Roman"/>
        <w:b/>
        <w:lang w:val="x-none"/>
      </w:rPr>
      <w:instrText xml:space="preserve"> PAGE   \* MERGEFORMAT </w:instrText>
    </w:r>
    <w:r w:rsidR="00F9022C" w:rsidRPr="00F9022C">
      <w:rPr>
        <w:rFonts w:ascii="Arial Narrow" w:eastAsia="Times New Roman" w:hAnsi="Arial Narrow" w:cs="Times New Roman"/>
        <w:b/>
        <w:lang w:val="x-none"/>
      </w:rPr>
      <w:fldChar w:fldCharType="separate"/>
    </w:r>
    <w:r w:rsidR="005644C6">
      <w:rPr>
        <w:rFonts w:ascii="Arial Narrow" w:eastAsia="Times New Roman" w:hAnsi="Arial Narrow" w:cs="Times New Roman"/>
        <w:b/>
        <w:noProof/>
        <w:lang w:val="x-none"/>
      </w:rPr>
      <w:t>63</w:t>
    </w:r>
    <w:r w:rsidR="00F9022C" w:rsidRPr="00F9022C">
      <w:rPr>
        <w:rFonts w:ascii="Arial Narrow" w:eastAsia="Times New Roman" w:hAnsi="Arial Narrow" w:cs="Times New Roman"/>
        <w:b/>
      </w:rPr>
      <w:fldChar w:fldCharType="end"/>
    </w:r>
    <w:r w:rsidR="00F9022C" w:rsidRPr="00F9022C">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6643" w14:textId="77777777" w:rsidR="009B0160" w:rsidRDefault="009B0160" w:rsidP="00DC7393">
      <w:pPr>
        <w:spacing w:before="0" w:after="0"/>
      </w:pPr>
      <w:r>
        <w:separator/>
      </w:r>
    </w:p>
  </w:footnote>
  <w:footnote w:type="continuationSeparator" w:id="0">
    <w:p w14:paraId="2AF2C7B4" w14:textId="77777777" w:rsidR="009B0160" w:rsidRDefault="009B0160"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E41D" w14:textId="77777777" w:rsidR="00DC7393" w:rsidRPr="000B529A" w:rsidRDefault="00406D77" w:rsidP="000B529A">
    <w:pPr>
      <w:tabs>
        <w:tab w:val="center" w:pos="4680"/>
        <w:tab w:val="right" w:pos="9360"/>
      </w:tabs>
      <w:ind w:left="0"/>
      <w:contextualSpacing/>
      <w:rPr>
        <w:rFonts w:ascii="Arial Narrow" w:hAnsi="Arial Narrow"/>
        <w:b/>
      </w:rPr>
    </w:pPr>
    <w:r>
      <w:rPr>
        <w:rFonts w:ascii="Arial Narrow" w:hAnsi="Arial Narrow"/>
        <w:b/>
      </w:rPr>
      <w:t>August 1, 2019</w:t>
    </w:r>
    <w:r w:rsidR="000B529A" w:rsidRPr="00955D83">
      <w:rPr>
        <w:rFonts w:ascii="Arial Narrow" w:hAnsi="Arial Narrow"/>
        <w:b/>
      </w:rPr>
      <w:tab/>
    </w:r>
    <w:r w:rsidR="000B529A"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6F9C7FD6"/>
    <w:multiLevelType w:val="multilevel"/>
    <w:tmpl w:val="BB844C6A"/>
    <w:lvl w:ilvl="0">
      <w:start w:val="1"/>
      <w:numFmt w:val="decimal"/>
      <w:lvlText w:val="D-%1"/>
      <w:lvlJc w:val="left"/>
      <w:pPr>
        <w:tabs>
          <w:tab w:val="num" w:pos="576"/>
        </w:tabs>
        <w:ind w:left="0" w:firstLine="0"/>
      </w:pPr>
      <w:rPr>
        <w:rFonts w:ascii="Arial Narrow" w:hAnsi="Arial Narrow" w:hint="default"/>
        <w:b/>
        <w:i w:val="0"/>
        <w:sz w:val="22"/>
      </w:rPr>
    </w:lvl>
    <w:lvl w:ilvl="1">
      <w:start w:val="1"/>
      <w:numFmt w:val="decimal"/>
      <w:lvlText w:val="D-%1.%2"/>
      <w:lvlJc w:val="left"/>
      <w:pPr>
        <w:tabs>
          <w:tab w:val="num" w:pos="936"/>
        </w:tabs>
        <w:ind w:left="360" w:firstLine="0"/>
      </w:pPr>
      <w:rPr>
        <w:rFonts w:ascii="Arial Narrow" w:hAnsi="Arial Narrow" w:hint="default"/>
        <w:b/>
        <w:i w:val="0"/>
        <w:sz w:val="22"/>
      </w:rPr>
    </w:lvl>
    <w:lvl w:ilvl="2">
      <w:start w:val="1"/>
      <w:numFmt w:val="decimal"/>
      <w:lvlText w:val="D-%1.%2.%3"/>
      <w:lvlJc w:val="left"/>
      <w:pPr>
        <w:tabs>
          <w:tab w:val="num" w:pos="1296"/>
        </w:tabs>
        <w:ind w:left="720" w:firstLine="0"/>
      </w:pPr>
      <w:rPr>
        <w:rFonts w:ascii="Arial Narrow" w:hAnsi="Arial Narrow" w:hint="default"/>
        <w:b/>
        <w:i w:val="0"/>
        <w:sz w:val="22"/>
      </w:rPr>
    </w:lvl>
    <w:lvl w:ilvl="3">
      <w:start w:val="1"/>
      <w:numFmt w:val="decimal"/>
      <w:lvlText w:val="D-%1.%2.%3.%4"/>
      <w:lvlJc w:val="left"/>
      <w:pPr>
        <w:tabs>
          <w:tab w:val="num" w:pos="1656"/>
        </w:tabs>
        <w:ind w:left="1080" w:firstLine="0"/>
      </w:pPr>
      <w:rPr>
        <w:rFonts w:ascii="Arial Narrow" w:hAnsi="Arial Narrow" w:hint="default"/>
        <w:b/>
        <w:i w:val="0"/>
        <w:sz w:val="22"/>
      </w:rPr>
    </w:lvl>
    <w:lvl w:ilvl="4">
      <w:start w:val="1"/>
      <w:numFmt w:val="decimal"/>
      <w:lvlText w:val="D-%1.%2.%3.%4.%5"/>
      <w:lvlJc w:val="left"/>
      <w:pPr>
        <w:tabs>
          <w:tab w:val="num" w:pos="2016"/>
        </w:tabs>
        <w:ind w:left="1440" w:firstLine="0"/>
      </w:pPr>
      <w:rPr>
        <w:rFonts w:ascii="Arial Narrow" w:hAnsi="Arial Narrow" w:hint="default"/>
        <w:b/>
        <w:i w:val="0"/>
        <w:sz w:val="22"/>
      </w:rPr>
    </w:lvl>
    <w:lvl w:ilvl="5">
      <w:start w:val="1"/>
      <w:numFmt w:val="decimal"/>
      <w:lvlText w:val="D-%1.%2.%3.%4.%5.%6"/>
      <w:lvlJc w:val="left"/>
      <w:pPr>
        <w:tabs>
          <w:tab w:val="num" w:pos="2376"/>
        </w:tabs>
        <w:ind w:left="1800" w:firstLine="0"/>
      </w:pPr>
      <w:rPr>
        <w:rFonts w:ascii="Arial Narrow" w:hAnsi="Arial Narrow" w:hint="default"/>
        <w:b/>
        <w:i w:val="0"/>
        <w:sz w:val="22"/>
      </w:rPr>
    </w:lvl>
    <w:lvl w:ilvl="6">
      <w:start w:val="1"/>
      <w:numFmt w:val="decimal"/>
      <w:lvlText w:val="D-%1.%2.%3.%4.%5.%6.%7"/>
      <w:lvlJc w:val="left"/>
      <w:pPr>
        <w:tabs>
          <w:tab w:val="num" w:pos="2736"/>
        </w:tabs>
        <w:ind w:left="2160" w:firstLine="0"/>
      </w:pPr>
      <w:rPr>
        <w:rFonts w:ascii="Arial Narrow" w:hAnsi="Arial Narrow" w:hint="default"/>
        <w:b/>
        <w:i w:val="0"/>
        <w:sz w:val="22"/>
      </w:rPr>
    </w:lvl>
    <w:lvl w:ilvl="7">
      <w:start w:val="1"/>
      <w:numFmt w:val="decimal"/>
      <w:lvlText w:val="D-%1.%2.%3.%4.%5.%6.%8"/>
      <w:lvlJc w:val="left"/>
      <w:pPr>
        <w:tabs>
          <w:tab w:val="num" w:pos="3096"/>
        </w:tabs>
        <w:ind w:left="2520" w:firstLine="0"/>
      </w:pPr>
      <w:rPr>
        <w:rFonts w:ascii="Arial Narrow" w:hAnsi="Arial Narrow" w:hint="default"/>
        <w:b/>
        <w:i w:val="0"/>
        <w:sz w:val="22"/>
      </w:rPr>
    </w:lvl>
    <w:lvl w:ilvl="8">
      <w:start w:val="1"/>
      <w:numFmt w:val="decimal"/>
      <w:lvlText w:val="D-%1.%2.%3.%4.%5.%6.%7.%8.%9"/>
      <w:lvlJc w:val="left"/>
      <w:pPr>
        <w:tabs>
          <w:tab w:val="num" w:pos="576"/>
        </w:tabs>
        <w:ind w:left="2880" w:firstLine="0"/>
      </w:pPr>
      <w:rPr>
        <w:rFonts w:ascii="Arial Narrow" w:hAnsi="Arial Narrow" w:hint="default"/>
        <w:b/>
        <w:i w:val="0"/>
        <w:sz w:val="22"/>
      </w:rPr>
    </w:lvl>
  </w:abstractNum>
  <w:abstractNum w:abstractNumId="4"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285163214">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731539046">
    <w:abstractNumId w:val="2"/>
  </w:num>
  <w:num w:numId="3" w16cid:durableId="757797509">
    <w:abstractNumId w:val="4"/>
  </w:num>
  <w:num w:numId="4" w16cid:durableId="2143183921">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1823429687">
    <w:abstractNumId w:val="3"/>
    <w:lvlOverride w:ilvl="0">
      <w:lvl w:ilvl="0">
        <w:start w:val="1"/>
        <w:numFmt w:val="decimal"/>
        <w:lvlText w:val="D-%1"/>
        <w:lvlJc w:val="left"/>
        <w:pPr>
          <w:ind w:left="0" w:firstLine="0"/>
        </w:pPr>
        <w:rPr>
          <w:rFonts w:ascii="Arial Narrow" w:hAnsi="Arial Narrow" w:hint="default"/>
          <w:b/>
          <w:i w:val="0"/>
          <w:sz w:val="22"/>
        </w:rPr>
      </w:lvl>
    </w:lvlOverride>
    <w:lvlOverride w:ilvl="1">
      <w:lvl w:ilvl="1">
        <w:start w:val="1"/>
        <w:numFmt w:val="decimal"/>
        <w:lvlText w:val="D-%1.%2"/>
        <w:lvlJc w:val="left"/>
        <w:pPr>
          <w:ind w:left="360" w:firstLine="0"/>
        </w:pPr>
        <w:rPr>
          <w:rFonts w:ascii="Arial Narrow" w:hAnsi="Arial Narrow" w:hint="default"/>
          <w:b/>
          <w:i w:val="0"/>
          <w:sz w:val="22"/>
        </w:rPr>
      </w:lvl>
    </w:lvlOverride>
    <w:lvlOverride w:ilvl="2">
      <w:lvl w:ilvl="2">
        <w:start w:val="1"/>
        <w:numFmt w:val="decimal"/>
        <w:lvlText w:val="D-%1.%2.%3"/>
        <w:lvlJc w:val="left"/>
        <w:pPr>
          <w:ind w:left="720" w:firstLine="0"/>
        </w:pPr>
        <w:rPr>
          <w:rFonts w:ascii="Arial Narrow" w:hAnsi="Arial Narrow" w:hint="default"/>
          <w:b/>
          <w:i w:val="0"/>
          <w:sz w:val="22"/>
        </w:rPr>
      </w:lvl>
    </w:lvlOverride>
    <w:lvlOverride w:ilvl="3">
      <w:lvl w:ilvl="3">
        <w:start w:val="1"/>
        <w:numFmt w:val="decimal"/>
        <w:lvlText w:val="D-%1.%2.%3.%4"/>
        <w:lvlJc w:val="left"/>
        <w:pPr>
          <w:ind w:left="1080" w:firstLine="0"/>
        </w:pPr>
        <w:rPr>
          <w:rFonts w:ascii="Arial Narrow" w:hAnsi="Arial Narrow" w:hint="default"/>
          <w:b/>
          <w:i w:val="0"/>
          <w:sz w:val="22"/>
        </w:rPr>
      </w:lvl>
    </w:lvlOverride>
    <w:lvlOverride w:ilvl="4">
      <w:lvl w:ilvl="4">
        <w:start w:val="1"/>
        <w:numFmt w:val="decimal"/>
        <w:lvlText w:val="D-%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D-%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D-%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D-%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D-%1.%2.%3.%4.%5.%6.%7.%8.%9"/>
        <w:lvlJc w:val="left"/>
        <w:pPr>
          <w:tabs>
            <w:tab w:val="num" w:pos="57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B529A"/>
    <w:rsid w:val="001C3831"/>
    <w:rsid w:val="001F20EB"/>
    <w:rsid w:val="002B0091"/>
    <w:rsid w:val="00323B0C"/>
    <w:rsid w:val="00333B93"/>
    <w:rsid w:val="00406D77"/>
    <w:rsid w:val="0045207E"/>
    <w:rsid w:val="00516BC5"/>
    <w:rsid w:val="005644C6"/>
    <w:rsid w:val="00596161"/>
    <w:rsid w:val="005A6830"/>
    <w:rsid w:val="006C05AC"/>
    <w:rsid w:val="006C6AFB"/>
    <w:rsid w:val="00776A41"/>
    <w:rsid w:val="007F3B57"/>
    <w:rsid w:val="008F2491"/>
    <w:rsid w:val="009777F2"/>
    <w:rsid w:val="009B0160"/>
    <w:rsid w:val="009B4FA1"/>
    <w:rsid w:val="00AB63FD"/>
    <w:rsid w:val="00AD0587"/>
    <w:rsid w:val="00B06CB5"/>
    <w:rsid w:val="00B73100"/>
    <w:rsid w:val="00B80B2A"/>
    <w:rsid w:val="00BD1258"/>
    <w:rsid w:val="00BF2307"/>
    <w:rsid w:val="00C05BF4"/>
    <w:rsid w:val="00CA19D3"/>
    <w:rsid w:val="00D64F5F"/>
    <w:rsid w:val="00D661FA"/>
    <w:rsid w:val="00D724BB"/>
    <w:rsid w:val="00DB6E2F"/>
    <w:rsid w:val="00DC7393"/>
    <w:rsid w:val="00E640FB"/>
    <w:rsid w:val="00E6595E"/>
    <w:rsid w:val="00EA1BB0"/>
    <w:rsid w:val="00EA2C78"/>
    <w:rsid w:val="00EB2C9C"/>
    <w:rsid w:val="00EE3FBF"/>
    <w:rsid w:val="00EE73CC"/>
    <w:rsid w:val="00F87F02"/>
    <w:rsid w:val="00F9022C"/>
    <w:rsid w:val="00FC7010"/>
    <w:rsid w:val="00FE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EFA6C"/>
  <w15:docId w15:val="{375063CE-6CBD-4742-A27D-26D6D89F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paragraph" w:styleId="Revision">
    <w:name w:val="Revision"/>
    <w:hidden/>
    <w:uiPriority w:val="99"/>
    <w:semiHidden/>
    <w:rsid w:val="00D661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197021-0B54-403C-BAFB-D3E226E8FF0A}">
  <ds:schemaRefs>
    <ds:schemaRef ds:uri="http://schemas.openxmlformats.org/officeDocument/2006/bibliography"/>
  </ds:schemaRefs>
</ds:datastoreItem>
</file>

<file path=customXml/itemProps2.xml><?xml version="1.0" encoding="utf-8"?>
<ds:datastoreItem xmlns:ds="http://schemas.openxmlformats.org/officeDocument/2006/customXml" ds:itemID="{49811A7E-A663-4BB6-AEDB-4656611F66F4}"/>
</file>

<file path=customXml/itemProps3.xml><?xml version="1.0" encoding="utf-8"?>
<ds:datastoreItem xmlns:ds="http://schemas.openxmlformats.org/officeDocument/2006/customXml" ds:itemID="{0BED3FCC-FA76-467E-8E35-24E0E83EB261}"/>
</file>

<file path=customXml/itemProps4.xml><?xml version="1.0" encoding="utf-8"?>
<ds:datastoreItem xmlns:ds="http://schemas.openxmlformats.org/officeDocument/2006/customXml" ds:itemID="{136534A9-E9A6-4D5F-8783-8025C6008F78}"/>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D - Deliverables</dc:title>
  <dc:creator>Micallef, Jimmers</dc:creator>
  <cp:lastModifiedBy>VanDyke, Misty N</cp:lastModifiedBy>
  <cp:revision>3</cp:revision>
  <cp:lastPrinted>2019-07-24T12:36:00Z</cp:lastPrinted>
  <dcterms:created xsi:type="dcterms:W3CDTF">2022-05-26T20:13:00Z</dcterms:created>
  <dcterms:modified xsi:type="dcterms:W3CDTF">2025-06-12T12:55:00Z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