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0245A" w14:textId="77777777" w:rsidR="00D06A62" w:rsidRPr="00D06A62" w:rsidRDefault="00D06A62" w:rsidP="00887FB7">
      <w:pPr>
        <w:spacing w:before="60" w:after="60" w:line="240" w:lineRule="auto"/>
        <w:outlineLvl w:val="0"/>
        <w:rPr>
          <w:rFonts w:ascii="Arial" w:eastAsia="Times New Roman" w:hAnsi="Arial" w:cs="Times New Roman"/>
          <w:b/>
          <w:bCs/>
          <w:kern w:val="0"/>
          <w:szCs w:val="20"/>
          <w14:ligatures w14:val="none"/>
        </w:rPr>
      </w:pPr>
      <w:r w:rsidRPr="00D06A62">
        <w:rPr>
          <w:rFonts w:ascii="Arial" w:eastAsia="Times New Roman" w:hAnsi="Arial" w:cs="Times New Roman"/>
          <w:b/>
          <w:bCs/>
          <w:kern w:val="0"/>
          <w:szCs w:val="20"/>
          <w14:ligatures w14:val="none"/>
        </w:rPr>
        <w:t>EXHIBIT E – MINIMUM PERFORMANCE MEASURES</w:t>
      </w:r>
    </w:p>
    <w:p w14:paraId="39BF8AC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kern w:val="0"/>
          <w14:ligatures w14:val="none"/>
        </w:rPr>
        <w:t>Section C.1</w:t>
      </w:r>
      <w:r w:rsidRPr="00D06A62">
        <w:rPr>
          <w:rFonts w:ascii="Arial" w:eastAsia="Times New Roman" w:hAnsi="Arial" w:cs="Arial"/>
          <w:kern w:val="0"/>
          <w14:ligatures w14:val="none"/>
        </w:rPr>
        <w:t xml:space="preserve">, the Managing Entity shall meet the annual performance measures in </w:t>
      </w:r>
      <w:r w:rsidRPr="00D06A62">
        <w:rPr>
          <w:rFonts w:ascii="Arial" w:eastAsia="Times New Roman" w:hAnsi="Arial" w:cs="Arial"/>
          <w:b/>
          <w:kern w:val="0"/>
          <w14:ligatures w14:val="none"/>
        </w:rPr>
        <w:t>Table 3</w:t>
      </w:r>
      <w:r w:rsidRPr="00D06A62">
        <w:rPr>
          <w:rFonts w:ascii="Arial" w:eastAsia="Times New Roman" w:hAnsi="Arial" w:cs="Arial"/>
          <w:kern w:val="0"/>
          <w14:ligatures w14:val="none"/>
        </w:rPr>
        <w:t>.</w:t>
      </w:r>
    </w:p>
    <w:p w14:paraId="043AE3D6" w14:textId="77777777" w:rsidR="00D06A62" w:rsidRPr="00D06A62" w:rsidRDefault="00D06A62" w:rsidP="00887FB7">
      <w:pPr>
        <w:keepNext/>
        <w:keepLines/>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Financial consequences will be imposed consistent with </w:t>
      </w:r>
      <w:r w:rsidRPr="00D06A62">
        <w:rPr>
          <w:rFonts w:ascii="Arial" w:eastAsia="Times New Roman" w:hAnsi="Arial" w:cs="Arial"/>
          <w:b/>
          <w:bCs/>
          <w:kern w:val="0"/>
          <w14:ligatures w14:val="none"/>
        </w:rPr>
        <w:t>Table 3</w:t>
      </w:r>
      <w:r w:rsidRPr="00D06A62">
        <w:rPr>
          <w:rFonts w:ascii="Arial" w:eastAsia="Times New Roman" w:hAnsi="Arial" w:cs="Arial"/>
          <w:kern w:val="0"/>
          <w14:ligatures w14:val="none"/>
        </w:rPr>
        <w:t xml:space="preserve"> for failure to satisfy the identified performance measures. Multiple financial consequences may be applied to a single invoice for that month’s administrative costs if multiple performance measures are not met. The aggregate financial consequence for an invoice shall not exceed 10% of the Managing Entity administrative cost. The financial consequence for failure to satisfy a Performance Measure for business days one, two, or three is $100 per incident. The financial consequence for failure to satisfy a Performance Measure for days four to 15 is $200 per incident. The financial consequence for failure to satisfy a Performance Measure for after 15 days is $500 per incident.</w:t>
      </w:r>
    </w:p>
    <w:p w14:paraId="6243346C"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Any financial consequences incurred pursuant to this section shall generate a reduction in payment associated with the Managing Entity Administrative Cost other cost accumulator identified in </w:t>
      </w:r>
      <w:r w:rsidRPr="00D06A62">
        <w:rPr>
          <w:rFonts w:ascii="Arial" w:eastAsia="Times New Roman" w:hAnsi="Arial" w:cs="Arial"/>
          <w:b/>
          <w:bCs/>
          <w:kern w:val="0"/>
          <w14:ligatures w14:val="none"/>
        </w:rPr>
        <w:t>Exhibit F1.</w:t>
      </w:r>
    </w:p>
    <w:p w14:paraId="473F0F77" w14:textId="77777777" w:rsidR="00D06A62" w:rsidRPr="00D06A62" w:rsidRDefault="00D06A62" w:rsidP="00887FB7">
      <w:pPr>
        <w:keepNext/>
        <w:keepLines/>
        <w:numPr>
          <w:ilvl w:val="2"/>
          <w:numId w:val="1"/>
        </w:numPr>
        <w:tabs>
          <w:tab w:val="left" w:pos="900"/>
        </w:tabs>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The Department, in its sole discretion, may waive financial consequences for extenuating circumstances.</w:t>
      </w:r>
    </w:p>
    <w:p w14:paraId="59412836" w14:textId="77777777" w:rsidR="00D06A62" w:rsidRPr="00D06A62" w:rsidRDefault="00D06A62" w:rsidP="00D06A62">
      <w:pPr>
        <w:keepNext/>
        <w:keepLines/>
        <w:tabs>
          <w:tab w:val="left" w:pos="900"/>
        </w:tabs>
        <w:spacing w:before="60" w:after="60" w:line="240" w:lineRule="auto"/>
        <w:contextualSpacing/>
        <w:rPr>
          <w:rFonts w:ascii="Arial" w:eastAsia="Times New Roman" w:hAnsi="Arial" w:cs="Arial"/>
          <w:kern w:val="0"/>
          <w14:ligatures w14:val="none"/>
        </w:rPr>
      </w:pPr>
    </w:p>
    <w:tbl>
      <w:tblPr>
        <w:tblStyle w:val="Style12"/>
        <w:tblW w:w="10252" w:type="dxa"/>
        <w:tblLook w:val="04A0" w:firstRow="1" w:lastRow="0" w:firstColumn="1" w:lastColumn="0" w:noHBand="0" w:noVBand="1"/>
      </w:tblPr>
      <w:tblGrid>
        <w:gridCol w:w="4826"/>
        <w:gridCol w:w="40"/>
        <w:gridCol w:w="40"/>
        <w:gridCol w:w="2755"/>
        <w:gridCol w:w="40"/>
        <w:gridCol w:w="40"/>
        <w:gridCol w:w="2511"/>
      </w:tblGrid>
      <w:tr w:rsidR="00D06A62" w:rsidRPr="00D06A62" w14:paraId="181B820B" w14:textId="77777777" w:rsidTr="00D06A62">
        <w:trPr>
          <w:cnfStyle w:val="100000000000" w:firstRow="1" w:lastRow="0" w:firstColumn="0" w:lastColumn="0" w:oddVBand="0" w:evenVBand="0" w:oddHBand="0" w:evenHBand="0" w:firstRowFirstColumn="0" w:firstRowLastColumn="0" w:lastRowFirstColumn="0" w:lastRowLastColumn="0"/>
          <w:trHeight w:val="254"/>
          <w:tblHeader/>
        </w:trPr>
        <w:tc>
          <w:tcPr>
            <w:tcW w:w="4961" w:type="pct"/>
            <w:gridSpan w:val="7"/>
            <w:shd w:val="clear" w:color="auto" w:fill="DBDBDB"/>
            <w:vAlign w:val="center"/>
          </w:tcPr>
          <w:p w14:paraId="33B0939B" w14:textId="77777777" w:rsidR="00D06A62" w:rsidRPr="00D06A62" w:rsidRDefault="00D06A62" w:rsidP="00D06A62">
            <w:pPr>
              <w:contextualSpacing/>
              <w:jc w:val="center"/>
              <w:rPr>
                <w:rFonts w:ascii="Arial" w:eastAsia="Times New Roman" w:hAnsi="Arial" w:cs="Arial"/>
                <w:b/>
                <w:bCs/>
              </w:rPr>
            </w:pPr>
            <w:bookmarkStart w:id="0" w:name="_Hlk137797330"/>
            <w:r w:rsidRPr="00D06A62">
              <w:rPr>
                <w:rFonts w:ascii="Arial" w:eastAsia="Times New Roman" w:hAnsi="Arial" w:cs="Arial"/>
                <w:b/>
                <w:bCs/>
              </w:rPr>
              <w:t>Table 3 – Managing Entity Performance Measures</w:t>
            </w:r>
          </w:p>
        </w:tc>
      </w:tr>
      <w:tr w:rsidR="00D06A62" w:rsidRPr="00D06A62" w14:paraId="46E0688A"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2381" w:type="pct"/>
            <w:shd w:val="clear" w:color="auto" w:fill="D9E2F3"/>
            <w:vAlign w:val="center"/>
          </w:tcPr>
          <w:p w14:paraId="7258A693" w14:textId="77777777" w:rsidR="00D06A62" w:rsidRPr="00D06A62" w:rsidRDefault="00D06A62" w:rsidP="00D06A62">
            <w:pPr>
              <w:spacing w:after="120"/>
              <w:contextualSpacing/>
              <w:jc w:val="center"/>
              <w:rPr>
                <w:rFonts w:ascii="Arial" w:eastAsia="Times New Roman" w:hAnsi="Arial" w:cs="Arial"/>
                <w:b/>
              </w:rPr>
            </w:pPr>
            <w:r w:rsidRPr="00D06A62">
              <w:rPr>
                <w:rFonts w:ascii="Arial" w:eastAsia="Times New Roman" w:hAnsi="Arial" w:cs="Arial"/>
                <w:b/>
              </w:rPr>
              <w:t>Measure Description</w:t>
            </w:r>
          </w:p>
        </w:tc>
        <w:tc>
          <w:tcPr>
            <w:tcW w:w="1356" w:type="pct"/>
            <w:gridSpan w:val="3"/>
            <w:shd w:val="clear" w:color="auto" w:fill="D9E2F3"/>
            <w:vAlign w:val="center"/>
          </w:tcPr>
          <w:p w14:paraId="4DFB59A6"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Financial Consequence</w:t>
            </w:r>
          </w:p>
        </w:tc>
        <w:tc>
          <w:tcPr>
            <w:tcW w:w="1185" w:type="pct"/>
            <w:gridSpan w:val="3"/>
            <w:shd w:val="clear" w:color="auto" w:fill="D9E2F3"/>
            <w:vAlign w:val="center"/>
          </w:tcPr>
          <w:p w14:paraId="3EAB2612" w14:textId="77777777" w:rsidR="00D06A62" w:rsidRPr="00D06A62" w:rsidRDefault="00D06A62" w:rsidP="00D06A62">
            <w:pPr>
              <w:spacing w:after="120"/>
              <w:ind w:left="9"/>
              <w:contextualSpacing/>
              <w:jc w:val="center"/>
              <w:rPr>
                <w:rFonts w:ascii="Arial" w:eastAsia="Times New Roman" w:hAnsi="Arial" w:cs="Arial"/>
                <w:b/>
              </w:rPr>
            </w:pPr>
            <w:r w:rsidRPr="00D06A62">
              <w:rPr>
                <w:rFonts w:ascii="Arial" w:eastAsia="Times New Roman" w:hAnsi="Arial" w:cs="Arial"/>
                <w:b/>
              </w:rPr>
              <w:t>Reporting Frequency</w:t>
            </w:r>
          </w:p>
        </w:tc>
      </w:tr>
      <w:tr w:rsidR="00D06A62" w:rsidRPr="00D06A62" w14:paraId="68B8E537" w14:textId="77777777" w:rsidTr="002C60A0">
        <w:trPr>
          <w:trHeight w:val="820"/>
        </w:trPr>
        <w:tc>
          <w:tcPr>
            <w:tcW w:w="2381" w:type="pct"/>
            <w:vAlign w:val="center"/>
          </w:tcPr>
          <w:p w14:paraId="2A175478"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Development and Planning Function</w:t>
            </w:r>
          </w:p>
          <w:p w14:paraId="5C104D5E" w14:textId="77777777" w:rsidR="00D06A62" w:rsidRPr="00D06A62" w:rsidRDefault="00D06A62" w:rsidP="00D06A62">
            <w:pPr>
              <w:numPr>
                <w:ilvl w:val="2"/>
                <w:numId w:val="2"/>
              </w:numPr>
              <w:spacing w:before="120" w:after="120"/>
              <w:jc w:val="both"/>
              <w:rPr>
                <w:rFonts w:ascii="Arial" w:eastAsia="Yu Mincho" w:hAnsi="Arial" w:cs="Arial"/>
                <w:b/>
                <w:bCs/>
              </w:rPr>
            </w:pPr>
            <w:r w:rsidRPr="00D06A62">
              <w:rPr>
                <w:rFonts w:ascii="Arial" w:eastAsia="Times New Roman" w:hAnsi="Arial" w:cs="Arial"/>
              </w:rPr>
              <w:t xml:space="preserve"> The Managing Entity actively seeks to expand its provider network and/or service capacity, based on service needs determined by the Triennial Needs Assessment or Department priorities and subject to the availability of funds, per </w:t>
            </w:r>
            <w:r w:rsidRPr="00D06A62">
              <w:rPr>
                <w:rFonts w:ascii="Arial" w:eastAsia="Times New Roman" w:hAnsi="Arial" w:cs="Arial"/>
                <w:b/>
                <w:bCs/>
              </w:rPr>
              <w:t>C.1.1.1</w:t>
            </w:r>
            <w:r w:rsidRPr="00D06A62">
              <w:rPr>
                <w:rFonts w:ascii="Arial" w:eastAsia="Times New Roman" w:hAnsi="Arial" w:cs="Arial"/>
              </w:rPr>
              <w:t>, and the provider network is increased by 5% over its baseline in the first year and then greater than or equal to 2% per year thereafter. Numerator: Number of providers. Denominator: This is measured by the number of new providers added to the network</w:t>
            </w:r>
          </w:p>
          <w:p w14:paraId="7874FDD0"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Per </w:t>
            </w:r>
            <w:r w:rsidRPr="00D06A62">
              <w:rPr>
                <w:rFonts w:ascii="Arial" w:eastAsia="Times New Roman" w:hAnsi="Arial" w:cs="Arial"/>
                <w:b/>
                <w:bCs/>
              </w:rPr>
              <w:t>C.1.1.3.2</w:t>
            </w:r>
            <w:r w:rsidRPr="00D06A62">
              <w:rPr>
                <w:rFonts w:ascii="Arial" w:eastAsia="Times New Roman" w:hAnsi="Arial" w:cs="Arial"/>
              </w:rPr>
              <w:t xml:space="preserve">, the Managing Entity shall increase diversions from acute care services. The readmission rate is equal to or less than 20% the first year and increases 1% thereafter. Numerator: Number of readmissions. Denominator: number of discharges all multiplied by 100. </w:t>
            </w:r>
          </w:p>
          <w:p w14:paraId="3B3A1FA1" w14:textId="77777777" w:rsidR="00D06A62" w:rsidRPr="00D06A62" w:rsidRDefault="00D06A62" w:rsidP="00D06A62">
            <w:pPr>
              <w:numPr>
                <w:ilvl w:val="2"/>
                <w:numId w:val="2"/>
              </w:numPr>
              <w:spacing w:before="120" w:after="120"/>
              <w:jc w:val="both"/>
              <w:rPr>
                <w:rFonts w:ascii="Arial" w:eastAsia="Times New Roman" w:hAnsi="Arial" w:cs="Arial"/>
              </w:rPr>
            </w:pPr>
            <w:r w:rsidRPr="00D06A62">
              <w:rPr>
                <w:rFonts w:ascii="Arial" w:eastAsia="Times New Roman" w:hAnsi="Arial" w:cs="Arial"/>
              </w:rPr>
              <w:t xml:space="preserve"> The Managing Entity shall ensure that 50% of individuals served within the service area meet the time and distance standards detailed in </w:t>
            </w:r>
            <w:r w:rsidRPr="00D06A62">
              <w:rPr>
                <w:rFonts w:ascii="Arial" w:eastAsia="Times New Roman" w:hAnsi="Arial" w:cs="Arial"/>
                <w:b/>
                <w:bCs/>
              </w:rPr>
              <w:t>C.1.1.6.6.1 and C.1.1.6.6.2:</w:t>
            </w:r>
          </w:p>
          <w:p w14:paraId="3FDC4220"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urban counties and seeking services is within 30 miles and takes less than 60 minutes. This shall increase 10% per </w:t>
            </w:r>
            <w:r w:rsidRPr="00D06A62">
              <w:rPr>
                <w:rFonts w:ascii="Arial" w:eastAsia="Times New Roman" w:hAnsi="Arial" w:cs="Arial"/>
              </w:rPr>
              <w:lastRenderedPageBreak/>
              <w:t xml:space="preserve">year thereafter, up to 70%. Numerator: Number of individual patients who traveled a maximum of 60 minutes and 30 miles to access care. Denominator: Total number of patients seen all multiplied by 100.  </w:t>
            </w:r>
          </w:p>
          <w:p w14:paraId="7FE188E8" w14:textId="77777777" w:rsidR="00D06A62" w:rsidRPr="00D06A62" w:rsidRDefault="00D06A62" w:rsidP="00D06A62">
            <w:pPr>
              <w:numPr>
                <w:ilvl w:val="3"/>
                <w:numId w:val="2"/>
              </w:numPr>
              <w:spacing w:before="120" w:after="120"/>
              <w:jc w:val="both"/>
              <w:rPr>
                <w:rFonts w:ascii="Arial" w:eastAsia="Times New Roman" w:hAnsi="Arial" w:cs="Arial"/>
              </w:rPr>
            </w:pPr>
            <w:r w:rsidRPr="00D06A62">
              <w:rPr>
                <w:rFonts w:ascii="Arial" w:eastAsia="Times New Roman" w:hAnsi="Arial" w:cs="Arial"/>
              </w:rPr>
              <w:t xml:space="preserve"> Travel time for 50% or fewer individuals residing in the Region in rural counties and seeking services is within 50 miles and takes less than 120 minutes. This shall increase 10% per year thereafter, up to 70%. Numerator: Number of individuals who traveled a maximum 120 minutes and 50 miles to access care. Denominator: Total number of individuals seen multiplied by 100. </w:t>
            </w:r>
          </w:p>
          <w:p w14:paraId="0A4E30D5"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Times New Roman" w:hAnsi="Arial" w:cs="Arial"/>
              </w:rPr>
              <w:t xml:space="preserve"> The Managing Entity Actively seeks to expand the number of services added and it is increased by greater than or equal to 5% over its baseline in the first year and then greater than or equal to 2% per year thereafter.</w:t>
            </w:r>
          </w:p>
        </w:tc>
        <w:tc>
          <w:tcPr>
            <w:tcW w:w="1356" w:type="pct"/>
            <w:gridSpan w:val="3"/>
            <w:vAlign w:val="center"/>
          </w:tcPr>
          <w:p w14:paraId="74B41B4A"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3C87E3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E.1.2.1 Annually</w:t>
            </w:r>
          </w:p>
          <w:p w14:paraId="44398FAC"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E.1.2.2 Annually</w:t>
            </w:r>
          </w:p>
          <w:p w14:paraId="6F499F89"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E.1.2.3 Monthly</w:t>
            </w:r>
          </w:p>
          <w:p w14:paraId="767A33BE"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E.1.2.4 Monthly</w:t>
            </w:r>
          </w:p>
          <w:p w14:paraId="491FEC4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E.1.2.5 Annually</w:t>
            </w:r>
          </w:p>
        </w:tc>
      </w:tr>
      <w:tr w:rsidR="00D06A62" w:rsidRPr="00D06A62" w14:paraId="5E69F1FB" w14:textId="77777777" w:rsidTr="002C60A0">
        <w:trPr>
          <w:trHeight w:val="820"/>
        </w:trPr>
        <w:tc>
          <w:tcPr>
            <w:tcW w:w="2381" w:type="pct"/>
            <w:vAlign w:val="center"/>
          </w:tcPr>
          <w:p w14:paraId="183E655F" w14:textId="77777777" w:rsidR="00D06A62" w:rsidRPr="00D06A62" w:rsidRDefault="00D06A62" w:rsidP="00D06A62">
            <w:pPr>
              <w:numPr>
                <w:ilvl w:val="1"/>
                <w:numId w:val="2"/>
              </w:numPr>
              <w:spacing w:before="120" w:after="120"/>
              <w:jc w:val="both"/>
              <w:rPr>
                <w:rFonts w:ascii="Arial" w:eastAsia="Yu Mincho" w:hAnsi="Arial" w:cs="Arial"/>
                <w:b/>
                <w:bCs/>
              </w:rPr>
            </w:pPr>
            <w:r w:rsidRPr="00D06A62">
              <w:rPr>
                <w:rFonts w:ascii="Arial" w:eastAsia="Yu Mincho" w:hAnsi="Arial" w:cs="Arial"/>
                <w:b/>
                <w:bCs/>
              </w:rPr>
              <w:t>Administrative Function</w:t>
            </w:r>
          </w:p>
          <w:p w14:paraId="2CC3A0B0"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C.1.2.4</w:t>
            </w:r>
            <w:r w:rsidRPr="00D06A62">
              <w:rPr>
                <w:rFonts w:ascii="Arial" w:eastAsia="Yu Mincho" w:hAnsi="Arial" w:cs="Arial"/>
              </w:rPr>
              <w:t xml:space="preserve">, the Managing Entity shall accept </w:t>
            </w:r>
            <w:r w:rsidRPr="00D06A62">
              <w:rPr>
                <w:rFonts w:ascii="Arial" w:eastAsia="Times New Roman" w:hAnsi="Arial" w:cs="Arial"/>
              </w:rPr>
              <w:t>90%</w:t>
            </w:r>
            <w:r w:rsidRPr="00D06A62">
              <w:rPr>
                <w:rFonts w:ascii="Arial" w:eastAsia="Yu Mincho" w:hAnsi="Arial" w:cs="Arial"/>
              </w:rPr>
              <w:t xml:space="preserve"> of willing providers that meet standard credentialling requirements</w:t>
            </w:r>
            <w:r w:rsidRPr="00D06A62">
              <w:rPr>
                <w:rFonts w:ascii="Arial" w:eastAsia="Times New Roman" w:hAnsi="Arial" w:cs="Arial"/>
              </w:rPr>
              <w:t xml:space="preserve"> </w:t>
            </w:r>
            <w:r w:rsidRPr="00D06A62">
              <w:rPr>
                <w:rFonts w:ascii="Arial" w:eastAsia="Yu Mincho" w:hAnsi="Arial" w:cs="Arial"/>
              </w:rPr>
              <w:t xml:space="preserve">which may include an evaluation of past performance or satisfactory performance with: another Managing Entity Network, another health network or managed care plan, and within available funding and based on community need as identified in the Triennial Needs Assessment. When funding or community need does not support the addition of a new network service provider, the ME may adopt a prequalification process. </w:t>
            </w:r>
          </w:p>
          <w:p w14:paraId="67F85C19" w14:textId="77777777" w:rsidR="00D06A62" w:rsidRPr="00D06A62" w:rsidRDefault="00D06A62" w:rsidP="00D06A62">
            <w:pPr>
              <w:numPr>
                <w:ilvl w:val="2"/>
                <w:numId w:val="2"/>
              </w:numPr>
              <w:spacing w:before="120" w:after="120"/>
              <w:jc w:val="both"/>
              <w:rPr>
                <w:rFonts w:ascii="Arial" w:eastAsia="Yu Mincho" w:hAnsi="Arial" w:cs="Arial"/>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within the 24-hours to 95% of requests received during business hours.</w:t>
            </w:r>
          </w:p>
          <w:p w14:paraId="3DF214F5"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Yu Mincho" w:hAnsi="Arial" w:cs="Arial"/>
              </w:rPr>
              <w:t xml:space="preserve"> Per </w:t>
            </w:r>
            <w:r w:rsidRPr="00D06A62">
              <w:rPr>
                <w:rFonts w:ascii="Arial" w:eastAsia="Yu Mincho" w:hAnsi="Arial" w:cs="Arial"/>
                <w:b/>
                <w:bCs/>
              </w:rPr>
              <w:t>C.1.2.10</w:t>
            </w:r>
            <w:r w:rsidRPr="00D06A62">
              <w:rPr>
                <w:rFonts w:ascii="Arial" w:eastAsia="Yu Mincho" w:hAnsi="Arial" w:cs="Arial"/>
              </w:rPr>
              <w:t>, the Managing Entity shall respond to 95% of after-hours referral requests on the following business day.</w:t>
            </w:r>
            <w:r w:rsidRPr="00D06A62">
              <w:rPr>
                <w:rFonts w:ascii="Arial" w:eastAsia="Times New Roman" w:hAnsi="Arial" w:cs="Arial"/>
              </w:rPr>
              <w:t xml:space="preserve"> </w:t>
            </w:r>
            <w:r w:rsidRPr="00D06A62">
              <w:rPr>
                <w:rFonts w:ascii="Arial" w:eastAsia="Yu Mincho" w:hAnsi="Arial" w:cs="Arial"/>
              </w:rPr>
              <w:t>The Managing Entity is required to have a monitoring log available at the Department’s request to establish this measure.</w:t>
            </w:r>
          </w:p>
          <w:p w14:paraId="0B1AC7BC" w14:textId="77777777" w:rsidR="00D06A62" w:rsidRPr="00D06A62" w:rsidRDefault="00D06A62" w:rsidP="00D06A62">
            <w:pPr>
              <w:numPr>
                <w:ilvl w:val="2"/>
                <w:numId w:val="2"/>
              </w:numPr>
              <w:spacing w:after="120"/>
              <w:contextualSpacing/>
              <w:jc w:val="both"/>
              <w:rPr>
                <w:rFonts w:ascii="Arial" w:eastAsia="Calibri" w:hAnsi="Arial" w:cs="Arial"/>
                <w:b/>
                <w:bCs/>
              </w:rPr>
            </w:pPr>
            <w:r w:rsidRPr="00D06A62">
              <w:rPr>
                <w:rFonts w:ascii="Arial" w:eastAsia="Calibri" w:hAnsi="Arial" w:cs="Arial"/>
              </w:rPr>
              <w:lastRenderedPageBreak/>
              <w:t xml:space="preserve"> The Managing Entity shall participate in a minimum of 80% of monthly local and regional review team, and other multidisciplinary staffing meetings in their service area</w:t>
            </w:r>
            <w:r w:rsidRPr="00D06A62">
              <w:rPr>
                <w:rFonts w:ascii="Calibri" w:eastAsia="Calibri" w:hAnsi="Calibri" w:cs="Arial"/>
              </w:rPr>
              <w:t>.</w:t>
            </w:r>
          </w:p>
        </w:tc>
        <w:tc>
          <w:tcPr>
            <w:tcW w:w="1356" w:type="pct"/>
            <w:gridSpan w:val="3"/>
            <w:vAlign w:val="center"/>
          </w:tcPr>
          <w:p w14:paraId="1D6D2A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gridSpan w:val="3"/>
            <w:vAlign w:val="center"/>
          </w:tcPr>
          <w:p w14:paraId="000EBF9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E.1.3.1 Monthly</w:t>
            </w:r>
          </w:p>
          <w:p w14:paraId="50D95056"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E.1.3.2 Monthly</w:t>
            </w:r>
          </w:p>
          <w:p w14:paraId="3BEBC178"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E.1.3.3 Monthly</w:t>
            </w:r>
          </w:p>
        </w:tc>
      </w:tr>
      <w:tr w:rsidR="00D06A62" w:rsidRPr="00D06A62" w14:paraId="7E546428" w14:textId="77777777" w:rsidTr="002C60A0">
        <w:trPr>
          <w:trHeight w:val="1414"/>
        </w:trPr>
        <w:tc>
          <w:tcPr>
            <w:tcW w:w="2381" w:type="pct"/>
            <w:gridSpan w:val="2"/>
            <w:vAlign w:val="center"/>
          </w:tcPr>
          <w:p w14:paraId="21751EC6" w14:textId="77777777" w:rsidR="00D06A62" w:rsidRPr="00D06A62" w:rsidRDefault="00D06A62" w:rsidP="00D06A62">
            <w:pPr>
              <w:numPr>
                <w:ilvl w:val="1"/>
                <w:numId w:val="2"/>
              </w:numPr>
              <w:tabs>
                <w:tab w:val="left" w:pos="737"/>
              </w:tabs>
              <w:spacing w:before="120" w:after="120"/>
              <w:jc w:val="both"/>
              <w:rPr>
                <w:rFonts w:ascii="Arial" w:eastAsia="Yu Mincho" w:hAnsi="Arial" w:cs="Arial"/>
                <w:b/>
                <w:bCs/>
              </w:rPr>
            </w:pPr>
            <w:r w:rsidRPr="00D06A62">
              <w:rPr>
                <w:rFonts w:ascii="Arial" w:eastAsia="Yu Mincho" w:hAnsi="Arial" w:cs="Arial"/>
                <w:b/>
                <w:bCs/>
              </w:rPr>
              <w:t>Administrative Function</w:t>
            </w:r>
          </w:p>
          <w:p w14:paraId="252A5DAF" w14:textId="77777777" w:rsidR="00D06A62" w:rsidRPr="00D06A62" w:rsidRDefault="00D06A62" w:rsidP="00D06A62">
            <w:pPr>
              <w:tabs>
                <w:tab w:val="left" w:pos="737"/>
              </w:tabs>
              <w:spacing w:before="120" w:after="120"/>
              <w:rPr>
                <w:rFonts w:ascii="Arial" w:eastAsia="Yu Mincho" w:hAnsi="Arial" w:cs="Arial"/>
              </w:rPr>
            </w:pPr>
            <w:proofErr w:type="gramStart"/>
            <w:r w:rsidRPr="00D06A62">
              <w:rPr>
                <w:rFonts w:ascii="Arial" w:eastAsia="Yu Mincho" w:hAnsi="Arial" w:cs="Arial"/>
                <w:b/>
                <w:bCs/>
              </w:rPr>
              <w:t xml:space="preserve">E.1.4.1 </w:t>
            </w:r>
            <w:r w:rsidRPr="00D06A62">
              <w:rPr>
                <w:rFonts w:ascii="Arial" w:eastAsia="Times New Roman" w:hAnsi="Arial" w:cs="Arial"/>
              </w:rPr>
              <w:t xml:space="preserve"> </w:t>
            </w:r>
            <w:r w:rsidRPr="00D06A62">
              <w:rPr>
                <w:rFonts w:ascii="Arial" w:eastAsia="Yu Mincho" w:hAnsi="Arial" w:cs="Arial"/>
              </w:rPr>
              <w:t>The</w:t>
            </w:r>
            <w:proofErr w:type="gramEnd"/>
            <w:r w:rsidRPr="00D06A62">
              <w:rPr>
                <w:rFonts w:ascii="Arial" w:eastAsia="Yu Mincho" w:hAnsi="Arial" w:cs="Arial"/>
              </w:rPr>
              <w:t xml:space="preserve"> Managing Entity shall </w:t>
            </w:r>
            <w:r w:rsidRPr="00D06A62">
              <w:rPr>
                <w:rFonts w:ascii="Calibri" w:eastAsia="Times New Roman" w:hAnsi="Calibri" w:cs="Arial"/>
              </w:rPr>
              <w:t>comply</w:t>
            </w:r>
            <w:r w:rsidRPr="00D06A62">
              <w:rPr>
                <w:rFonts w:ascii="Arial" w:eastAsia="Yu Mincho" w:hAnsi="Arial" w:cs="Arial"/>
              </w:rPr>
              <w:t xml:space="preserve"> 100% with the Department and its authorized representative contracted to conduct operational and financial audits in accordance with § 394.9082(3), F.S. and requirements established in </w:t>
            </w:r>
            <w:r w:rsidRPr="00D06A62">
              <w:rPr>
                <w:rFonts w:ascii="Arial" w:eastAsia="Yu Mincho" w:hAnsi="Arial" w:cs="Arial"/>
                <w:b/>
                <w:bCs/>
              </w:rPr>
              <w:t>Section A.1.5.4</w:t>
            </w:r>
            <w:r w:rsidRPr="00D06A62">
              <w:rPr>
                <w:rFonts w:ascii="Arial" w:eastAsia="Yu Mincho" w:hAnsi="Arial" w:cs="Arial"/>
              </w:rPr>
              <w:t xml:space="preserve"> </w:t>
            </w:r>
          </w:p>
          <w:p w14:paraId="6558CE8D" w14:textId="77777777" w:rsidR="00D06A62" w:rsidRPr="00D06A62" w:rsidRDefault="00D06A62" w:rsidP="00D06A62">
            <w:pPr>
              <w:spacing w:before="120" w:after="120"/>
              <w:rPr>
                <w:rFonts w:ascii="Calibri" w:eastAsia="Times New Roman" w:hAnsi="Calibri" w:cs="Arial"/>
                <w:b/>
                <w:bCs/>
              </w:rPr>
            </w:pPr>
            <w:proofErr w:type="gramStart"/>
            <w:r w:rsidRPr="00D06A62">
              <w:rPr>
                <w:rFonts w:ascii="Arial" w:eastAsia="Yu Mincho" w:hAnsi="Arial" w:cs="Arial"/>
                <w:b/>
                <w:bCs/>
              </w:rPr>
              <w:t>E.1.4.2</w:t>
            </w:r>
            <w:r w:rsidRPr="00D06A62">
              <w:rPr>
                <w:rFonts w:ascii="Arial" w:eastAsia="Yu Mincho" w:hAnsi="Arial" w:cs="Arial"/>
              </w:rPr>
              <w:t xml:space="preserve">  The</w:t>
            </w:r>
            <w:proofErr w:type="gramEnd"/>
            <w:r w:rsidRPr="00D06A62">
              <w:rPr>
                <w:rFonts w:ascii="Arial" w:eastAsia="Yu Mincho" w:hAnsi="Arial" w:cs="Arial"/>
              </w:rPr>
              <w:t xml:space="preserve"> Managing Entity shall provide 100% of any data or information requested by the Department or its authorized representative contracted to conduct these operational and financial audits  in accordance with § 394.9082(3), F.S. and requirements established in </w:t>
            </w:r>
            <w:r w:rsidRPr="00D06A62">
              <w:rPr>
                <w:rFonts w:ascii="Arial" w:eastAsia="Yu Mincho" w:hAnsi="Arial" w:cs="Arial"/>
                <w:b/>
                <w:bCs/>
              </w:rPr>
              <w:t>Section A.1.5.4</w:t>
            </w:r>
          </w:p>
        </w:tc>
        <w:tc>
          <w:tcPr>
            <w:tcW w:w="1356" w:type="pct"/>
            <w:gridSpan w:val="3"/>
            <w:vAlign w:val="center"/>
          </w:tcPr>
          <w:p w14:paraId="1AF8D81C"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Failure to satisfy this measure will result in a financial consequence of $1000 per day of the Managing Entity operational cost.</w:t>
            </w:r>
          </w:p>
        </w:tc>
        <w:tc>
          <w:tcPr>
            <w:tcW w:w="1185" w:type="pct"/>
            <w:gridSpan w:val="2"/>
            <w:vAlign w:val="center"/>
          </w:tcPr>
          <w:p w14:paraId="57875854" w14:textId="77777777" w:rsidR="00D06A62" w:rsidRPr="00D06A62" w:rsidRDefault="00D06A62" w:rsidP="00D06A62">
            <w:pPr>
              <w:spacing w:after="120"/>
              <w:ind w:left="9"/>
              <w:jc w:val="center"/>
              <w:rPr>
                <w:rFonts w:ascii="Calibri" w:eastAsia="Times New Roman" w:hAnsi="Calibri" w:cs="Arial"/>
              </w:rPr>
            </w:pPr>
            <w:r w:rsidRPr="00D06A62">
              <w:rPr>
                <w:rFonts w:ascii="Arial" w:eastAsia="Times New Roman" w:hAnsi="Arial" w:cs="Arial"/>
              </w:rPr>
              <w:t>Within one (1) business day of request, unless a l</w:t>
            </w:r>
            <w:r w:rsidRPr="00D06A62">
              <w:rPr>
                <w:rFonts w:ascii="Calibri" w:eastAsia="Times New Roman" w:hAnsi="Calibri" w:cs="Arial"/>
              </w:rPr>
              <w:t>ater</w:t>
            </w:r>
            <w:r w:rsidRPr="00D06A62">
              <w:rPr>
                <w:rFonts w:ascii="Arial" w:eastAsia="Times New Roman" w:hAnsi="Arial" w:cs="Arial"/>
              </w:rPr>
              <w:t xml:space="preserve"> submission deadline is </w:t>
            </w:r>
            <w:r w:rsidRPr="00D06A62">
              <w:rPr>
                <w:rFonts w:ascii="Calibri" w:eastAsia="Times New Roman" w:hAnsi="Calibri" w:cs="Arial"/>
              </w:rPr>
              <w:t>expressly</w:t>
            </w:r>
            <w:r w:rsidRPr="00D06A62">
              <w:rPr>
                <w:rFonts w:ascii="Arial" w:eastAsia="Times New Roman" w:hAnsi="Arial" w:cs="Arial"/>
              </w:rPr>
              <w:t xml:space="preserve"> authorized by the Department.</w:t>
            </w:r>
          </w:p>
        </w:tc>
      </w:tr>
      <w:tr w:rsidR="00D06A62" w:rsidRPr="00D06A62" w14:paraId="073762E6" w14:textId="77777777" w:rsidTr="002C60A0">
        <w:trPr>
          <w:trHeight w:val="1414"/>
        </w:trPr>
        <w:tc>
          <w:tcPr>
            <w:tcW w:w="2381" w:type="pct"/>
            <w:gridSpan w:val="3"/>
            <w:vAlign w:val="center"/>
          </w:tcPr>
          <w:p w14:paraId="069343FA" w14:textId="77777777" w:rsidR="00D06A62" w:rsidRPr="00D06A62" w:rsidRDefault="00D06A62" w:rsidP="00D06A62">
            <w:pPr>
              <w:numPr>
                <w:ilvl w:val="1"/>
                <w:numId w:val="2"/>
              </w:numPr>
              <w:spacing w:before="120" w:after="120"/>
              <w:jc w:val="both"/>
              <w:rPr>
                <w:rFonts w:ascii="Arial" w:eastAsia="Times New Roman" w:hAnsi="Arial" w:cs="Arial"/>
                <w:b/>
                <w:bCs/>
              </w:rPr>
            </w:pPr>
            <w:r w:rsidRPr="00D06A62">
              <w:rPr>
                <w:rFonts w:ascii="Arial" w:eastAsia="Times New Roman" w:hAnsi="Arial" w:cs="Arial"/>
                <w:b/>
                <w:bCs/>
              </w:rPr>
              <w:t>Network Services (Section C.1.2.2)</w:t>
            </w:r>
          </w:p>
          <w:p w14:paraId="5AA38198" w14:textId="77777777" w:rsidR="00D06A62" w:rsidRPr="00D06A62" w:rsidRDefault="00D06A62" w:rsidP="00D06A62">
            <w:pPr>
              <w:numPr>
                <w:ilvl w:val="2"/>
                <w:numId w:val="2"/>
              </w:numPr>
              <w:spacing w:before="120" w:after="120"/>
              <w:jc w:val="both"/>
              <w:rPr>
                <w:rFonts w:ascii="Arial" w:eastAsia="Times New Roman" w:hAnsi="Arial" w:cs="Arial"/>
                <w:b/>
                <w:bCs/>
              </w:rPr>
            </w:pPr>
            <w:r w:rsidRPr="00D06A62">
              <w:rPr>
                <w:rFonts w:ascii="Arial" w:eastAsia="Times New Roman" w:hAnsi="Arial" w:cs="Arial"/>
              </w:rPr>
              <w:t xml:space="preserve"> The Managing Entity shall demonstrate progress by reducing the average number of days individuals remain on the on the Forensic and Priority Population Wait List. </w:t>
            </w:r>
          </w:p>
        </w:tc>
        <w:tc>
          <w:tcPr>
            <w:tcW w:w="1356" w:type="pct"/>
            <w:gridSpan w:val="3"/>
            <w:vAlign w:val="center"/>
          </w:tcPr>
          <w:p w14:paraId="4DAF91C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6377D51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E.1.4.1 Monthly</w:t>
            </w:r>
          </w:p>
        </w:tc>
      </w:tr>
      <w:tr w:rsidR="00D06A62" w:rsidRPr="00D06A62" w14:paraId="4963A032" w14:textId="77777777" w:rsidTr="002C60A0">
        <w:trPr>
          <w:trHeight w:val="1918"/>
        </w:trPr>
        <w:tc>
          <w:tcPr>
            <w:tcW w:w="2381" w:type="pct"/>
            <w:gridSpan w:val="3"/>
            <w:vAlign w:val="center"/>
          </w:tcPr>
          <w:p w14:paraId="72D9CF38"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b/>
                <w:bCs/>
              </w:rPr>
              <w:t>Systemic Monitoring</w:t>
            </w:r>
            <w:r w:rsidRPr="00D06A62">
              <w:rPr>
                <w:rFonts w:ascii="Arial" w:eastAsia="Times New Roman" w:hAnsi="Arial" w:cs="Arial"/>
              </w:rPr>
              <w:t xml:space="preserve">:  </w:t>
            </w:r>
          </w:p>
          <w:p w14:paraId="28EF83FE"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The Managing Entity shall complete monitoring, in accordance with </w:t>
            </w:r>
            <w:r w:rsidRPr="00D06A62">
              <w:rPr>
                <w:rFonts w:ascii="Arial" w:eastAsia="Times New Roman" w:hAnsi="Arial" w:cs="Arial"/>
                <w:b/>
                <w:bCs/>
              </w:rPr>
              <w:t>Section C.1.3</w:t>
            </w:r>
            <w:r w:rsidRPr="00D06A62">
              <w:rPr>
                <w:rFonts w:ascii="Arial" w:eastAsia="Times New Roman" w:hAnsi="Arial" w:cs="Arial"/>
              </w:rPr>
              <w:t xml:space="preserve"> of no less than 40% of all Network Service Providers included in </w:t>
            </w:r>
            <w:r w:rsidRPr="00D06A62">
              <w:rPr>
                <w:rFonts w:ascii="Arial" w:eastAsia="Times New Roman" w:hAnsi="Arial" w:cs="Arial"/>
                <w:b/>
                <w:bCs/>
              </w:rPr>
              <w:t>C.1.3.1.2</w:t>
            </w:r>
            <w:r w:rsidRPr="00D06A62">
              <w:rPr>
                <w:rFonts w:ascii="Arial" w:eastAsia="Times New Roman" w:hAnsi="Arial" w:cs="Arial"/>
              </w:rPr>
              <w:t xml:space="preserve"> each fiscal year. Completion of monitoring includes the release of a final monitoring report to the Department and the Network Service Provider.  </w:t>
            </w:r>
          </w:p>
        </w:tc>
        <w:tc>
          <w:tcPr>
            <w:tcW w:w="1356" w:type="pct"/>
            <w:gridSpan w:val="3"/>
            <w:vAlign w:val="center"/>
          </w:tcPr>
          <w:p w14:paraId="07A76970"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C84B013"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E.1.5 Annually</w:t>
            </w:r>
          </w:p>
        </w:tc>
      </w:tr>
      <w:tr w:rsidR="00D06A62" w:rsidRPr="00D06A62" w14:paraId="468A0345" w14:textId="77777777" w:rsidTr="002C60A0">
        <w:trPr>
          <w:trHeight w:val="748"/>
        </w:trPr>
        <w:tc>
          <w:tcPr>
            <w:tcW w:w="2381" w:type="pct"/>
            <w:gridSpan w:val="3"/>
            <w:vAlign w:val="center"/>
          </w:tcPr>
          <w:p w14:paraId="0E056919" w14:textId="77777777" w:rsidR="00D06A62" w:rsidRPr="00D06A62" w:rsidRDefault="00D06A62" w:rsidP="00D06A62">
            <w:pPr>
              <w:numPr>
                <w:ilvl w:val="1"/>
                <w:numId w:val="2"/>
              </w:numPr>
              <w:tabs>
                <w:tab w:val="left" w:pos="737"/>
              </w:tabs>
              <w:spacing w:before="120" w:after="120"/>
              <w:jc w:val="both"/>
              <w:rPr>
                <w:rFonts w:ascii="Arial" w:eastAsia="Times New Roman" w:hAnsi="Arial" w:cs="Arial"/>
              </w:rPr>
            </w:pPr>
            <w:r w:rsidRPr="00D06A62">
              <w:rPr>
                <w:rFonts w:ascii="Arial" w:eastAsia="Times New Roman" w:hAnsi="Arial" w:cs="Arial"/>
              </w:rPr>
              <w:t>Per</w:t>
            </w:r>
            <w:r w:rsidRPr="00D06A62">
              <w:rPr>
                <w:rFonts w:ascii="Arial" w:eastAsia="Times New Roman" w:hAnsi="Arial" w:cs="Arial"/>
                <w:b/>
                <w:bCs/>
              </w:rPr>
              <w:t xml:space="preserve"> C.1.3.4,</w:t>
            </w:r>
            <w:r w:rsidRPr="00D06A62">
              <w:rPr>
                <w:rFonts w:ascii="Arial" w:eastAsia="Times New Roman" w:hAnsi="Arial" w:cs="Arial"/>
              </w:rPr>
              <w:t xml:space="preserve"> The Managing Entity shall participate in 80% of local and regional review team, and other multidisciplinary staffing. </w:t>
            </w:r>
          </w:p>
        </w:tc>
        <w:tc>
          <w:tcPr>
            <w:tcW w:w="1356" w:type="pct"/>
            <w:gridSpan w:val="3"/>
            <w:vAlign w:val="center"/>
          </w:tcPr>
          <w:p w14:paraId="009D89C6"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36BB326B" w14:textId="77777777" w:rsidR="00D06A62" w:rsidRPr="00D06A62" w:rsidRDefault="00D06A62" w:rsidP="00D06A62">
            <w:pPr>
              <w:spacing w:after="120"/>
              <w:ind w:left="9"/>
              <w:jc w:val="center"/>
              <w:rPr>
                <w:rFonts w:ascii="Arial" w:eastAsia="Times New Roman" w:hAnsi="Arial" w:cs="Arial"/>
              </w:rPr>
            </w:pPr>
            <w:r w:rsidRPr="00D06A62">
              <w:rPr>
                <w:rFonts w:ascii="Arial" w:eastAsia="Times New Roman" w:hAnsi="Arial" w:cs="Arial"/>
              </w:rPr>
              <w:t>E.1.6 Monthly</w:t>
            </w:r>
          </w:p>
        </w:tc>
      </w:tr>
      <w:tr w:rsidR="00D06A62" w:rsidRPr="00D06A62" w14:paraId="0D178F52" w14:textId="77777777" w:rsidTr="002C60A0">
        <w:trPr>
          <w:trHeight w:val="300"/>
        </w:trPr>
        <w:tc>
          <w:tcPr>
            <w:tcW w:w="2381" w:type="pct"/>
            <w:gridSpan w:val="3"/>
            <w:vAlign w:val="center"/>
          </w:tcPr>
          <w:p w14:paraId="37AC4F8D" w14:textId="77777777" w:rsidR="00D06A62" w:rsidRPr="00D06A62" w:rsidRDefault="00D06A62" w:rsidP="00D06A62">
            <w:pPr>
              <w:numPr>
                <w:ilvl w:val="1"/>
                <w:numId w:val="2"/>
              </w:numPr>
              <w:spacing w:before="120" w:after="120"/>
              <w:jc w:val="both"/>
              <w:rPr>
                <w:rFonts w:ascii="Arial" w:eastAsia="Times New Roman" w:hAnsi="Arial" w:cs="Arial"/>
                <w:b/>
              </w:rPr>
            </w:pPr>
            <w:r w:rsidRPr="00D06A62">
              <w:rPr>
                <w:rFonts w:ascii="Arial" w:eastAsia="Times New Roman" w:hAnsi="Arial" w:cs="Arial"/>
                <w:b/>
              </w:rPr>
              <w:t>Data Collection, Reporting, and Analysis Function</w:t>
            </w:r>
          </w:p>
          <w:p w14:paraId="687493C2" w14:textId="77777777" w:rsidR="00D06A62" w:rsidRPr="00D06A62" w:rsidRDefault="00D06A62" w:rsidP="00D06A62">
            <w:pPr>
              <w:numPr>
                <w:ilvl w:val="2"/>
                <w:numId w:val="2"/>
              </w:numPr>
              <w:spacing w:before="120" w:after="120"/>
              <w:contextualSpacing/>
              <w:jc w:val="both"/>
              <w:rPr>
                <w:rFonts w:ascii="Arial" w:eastAsia="Calibri" w:hAnsi="Arial" w:cs="Arial"/>
                <w:b/>
              </w:rPr>
            </w:pPr>
            <w:r w:rsidRPr="00D06A62">
              <w:rPr>
                <w:rFonts w:ascii="Arial" w:eastAsia="Calibri" w:hAnsi="Arial" w:cs="Arial"/>
                <w:bCs/>
              </w:rPr>
              <w:t xml:space="preserve"> Per</w:t>
            </w:r>
            <w:r w:rsidRPr="00D06A62">
              <w:rPr>
                <w:rFonts w:ascii="Arial" w:eastAsia="Calibri" w:hAnsi="Arial" w:cs="Arial"/>
                <w:b/>
              </w:rPr>
              <w:t xml:space="preserve"> C.1.4.5,</w:t>
            </w:r>
            <w:r w:rsidRPr="00D06A62">
              <w:rPr>
                <w:rFonts w:ascii="Arial" w:eastAsia="Calibri" w:hAnsi="Arial" w:cs="Arial"/>
                <w:bCs/>
              </w:rPr>
              <w:t xml:space="preserve"> the Department will provide a monthly records acceptance and rejection report to the Managing Entity. The Managing Entity shall correct 95% of rejected records within 60 days after each report is issued.</w:t>
            </w:r>
          </w:p>
          <w:p w14:paraId="5B557AE0" w14:textId="77777777" w:rsidR="00D06A62" w:rsidRPr="00D06A62" w:rsidRDefault="00D06A62" w:rsidP="00D06A62">
            <w:pPr>
              <w:numPr>
                <w:ilvl w:val="3"/>
                <w:numId w:val="2"/>
              </w:numPr>
              <w:spacing w:before="120" w:after="120"/>
              <w:contextualSpacing/>
              <w:jc w:val="both"/>
              <w:rPr>
                <w:rFonts w:ascii="Arial" w:eastAsia="Calibri" w:hAnsi="Arial" w:cs="Arial"/>
                <w:bCs/>
              </w:rPr>
            </w:pPr>
            <w:r w:rsidRPr="00D06A62">
              <w:rPr>
                <w:rFonts w:ascii="Arial" w:eastAsia="Calibri" w:hAnsi="Arial" w:cs="Arial"/>
                <w:bCs/>
              </w:rPr>
              <w:lastRenderedPageBreak/>
              <w:t xml:space="preserve"> Records that are not timely submitted will be considered rejected.</w:t>
            </w:r>
          </w:p>
        </w:tc>
        <w:tc>
          <w:tcPr>
            <w:tcW w:w="1356" w:type="pct"/>
            <w:gridSpan w:val="3"/>
            <w:vAlign w:val="center"/>
          </w:tcPr>
          <w:p w14:paraId="7957D7CF"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lastRenderedPageBreak/>
              <w:t>Section E.1.1.</w:t>
            </w:r>
          </w:p>
        </w:tc>
        <w:tc>
          <w:tcPr>
            <w:tcW w:w="1185" w:type="pct"/>
            <w:vAlign w:val="center"/>
          </w:tcPr>
          <w:p w14:paraId="39FF2ABE"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E.1.7.1 Monthly</w:t>
            </w:r>
          </w:p>
        </w:tc>
      </w:tr>
      <w:tr w:rsidR="00D06A62" w:rsidRPr="00D06A62" w14:paraId="54C79A39" w14:textId="77777777" w:rsidTr="002C60A0">
        <w:trPr>
          <w:trHeight w:val="300"/>
        </w:trPr>
        <w:tc>
          <w:tcPr>
            <w:tcW w:w="2381" w:type="pct"/>
            <w:gridSpan w:val="3"/>
            <w:vAlign w:val="center"/>
          </w:tcPr>
          <w:p w14:paraId="5BE1FD87" w14:textId="77777777" w:rsidR="00D06A62" w:rsidRPr="00D06A62" w:rsidRDefault="00D06A62" w:rsidP="00D06A62">
            <w:pPr>
              <w:spacing w:after="120"/>
              <w:ind w:left="17"/>
              <w:jc w:val="both"/>
              <w:rPr>
                <w:rFonts w:ascii="Arial" w:eastAsia="Times New Roman" w:hAnsi="Arial" w:cs="Arial"/>
                <w:b/>
              </w:rPr>
            </w:pPr>
            <w:r w:rsidRPr="00D06A62">
              <w:rPr>
                <w:rFonts w:ascii="Arial" w:eastAsia="Times New Roman" w:hAnsi="Arial" w:cs="Arial"/>
                <w:b/>
              </w:rPr>
              <w:t xml:space="preserve">Network Service Provider Compliance: </w:t>
            </w:r>
          </w:p>
          <w:p w14:paraId="07C7FB7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For each Network Service Provider Measure established in </w:t>
            </w:r>
            <w:r w:rsidRPr="00D06A62">
              <w:rPr>
                <w:rFonts w:ascii="Arial" w:eastAsia="Times New Roman" w:hAnsi="Arial" w:cs="Arial"/>
                <w:b/>
                <w:bCs/>
              </w:rPr>
              <w:t>Table 4</w:t>
            </w:r>
            <w:r w:rsidRPr="00D06A62">
              <w:rPr>
                <w:rFonts w:ascii="Arial" w:eastAsia="Times New Roman" w:hAnsi="Arial" w:cs="Arial"/>
              </w:rPr>
              <w:t xml:space="preserve">, subcontracted services within the Managing Entity’s service location shall collectively achieve a minimum of 90% of the annual target level for the measure. </w:t>
            </w:r>
          </w:p>
          <w:p w14:paraId="1E079CEA"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demonstrated on an annual basis. Progress towards attainment of this measure shall be demonstrated by the monthly submission of </w:t>
            </w:r>
            <w:r w:rsidRPr="00D06A62">
              <w:rPr>
                <w:rFonts w:ascii="Arial" w:eastAsia="Times New Roman" w:hAnsi="Arial" w:cs="Arial"/>
                <w:b/>
              </w:rPr>
              <w:t>Template 11 – Managing Entity Monthly Progress Report</w:t>
            </w:r>
            <w:r w:rsidRPr="00D06A62">
              <w:rPr>
                <w:rFonts w:ascii="Arial" w:eastAsia="Times New Roman" w:hAnsi="Arial" w:cs="Arial"/>
              </w:rPr>
              <w:t xml:space="preserve">. </w:t>
            </w:r>
          </w:p>
          <w:p w14:paraId="251B80D2" w14:textId="77777777" w:rsidR="00D06A62" w:rsidRPr="00D06A62" w:rsidRDefault="00D06A62" w:rsidP="00D06A62">
            <w:pPr>
              <w:tabs>
                <w:tab w:val="left" w:pos="737"/>
              </w:tabs>
              <w:spacing w:after="120"/>
              <w:ind w:left="17"/>
              <w:rPr>
                <w:rFonts w:ascii="Arial" w:eastAsia="Times New Roman" w:hAnsi="Arial" w:cs="Arial"/>
              </w:rPr>
            </w:pPr>
            <w:r w:rsidRPr="00D06A62">
              <w:rPr>
                <w:rFonts w:ascii="Arial" w:eastAsia="Times New Roman" w:hAnsi="Arial" w:cs="Arial"/>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D06A62">
              <w:rPr>
                <w:rFonts w:ascii="Arial" w:eastAsia="Times New Roman" w:hAnsi="Arial" w:cs="Arial"/>
                <w:b/>
              </w:rPr>
              <w:t xml:space="preserve">Table 4 </w:t>
            </w:r>
            <w:r w:rsidRPr="00D06A62">
              <w:rPr>
                <w:rFonts w:ascii="Arial" w:eastAsia="Times New Roman" w:hAnsi="Arial" w:cs="Arial"/>
              </w:rPr>
              <w:t xml:space="preserve">for any Network Service Provider or any individual measure, so long as the aggregate performance of all Network Service Providers in the Managing Entity system attains the </w:t>
            </w:r>
            <w:r w:rsidRPr="00D06A62">
              <w:rPr>
                <w:rFonts w:ascii="Arial" w:eastAsia="Times New Roman" w:hAnsi="Arial" w:cs="Arial"/>
                <w:b/>
              </w:rPr>
              <w:t>Table 4</w:t>
            </w:r>
            <w:r w:rsidRPr="00D06A62">
              <w:rPr>
                <w:rFonts w:ascii="Arial" w:eastAsia="Times New Roman" w:hAnsi="Arial" w:cs="Arial"/>
              </w:rPr>
              <w:t xml:space="preserve"> target performance.</w:t>
            </w:r>
          </w:p>
        </w:tc>
        <w:tc>
          <w:tcPr>
            <w:tcW w:w="1356" w:type="pct"/>
            <w:gridSpan w:val="3"/>
            <w:vAlign w:val="center"/>
          </w:tcPr>
          <w:p w14:paraId="2B29BA87"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7AE59665"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E.1.8 Annually</w:t>
            </w:r>
          </w:p>
        </w:tc>
      </w:tr>
      <w:tr w:rsidR="00D06A62" w:rsidRPr="00D06A62" w14:paraId="6979BD8B" w14:textId="77777777" w:rsidTr="002C60A0">
        <w:tc>
          <w:tcPr>
            <w:tcW w:w="2381" w:type="pct"/>
            <w:gridSpan w:val="3"/>
            <w:vAlign w:val="center"/>
          </w:tcPr>
          <w:p w14:paraId="08746E87" w14:textId="77777777" w:rsidR="00D06A62" w:rsidRPr="00D06A62" w:rsidRDefault="00D06A62" w:rsidP="00D06A62">
            <w:pPr>
              <w:spacing w:after="120"/>
              <w:rPr>
                <w:rFonts w:ascii="Arial" w:eastAsia="Times New Roman" w:hAnsi="Arial" w:cs="Arial"/>
                <w:bCs/>
              </w:rPr>
            </w:pPr>
            <w:r w:rsidRPr="00D06A62">
              <w:rPr>
                <w:rFonts w:ascii="Arial" w:eastAsia="Times New Roman" w:hAnsi="Arial" w:cs="Arial"/>
                <w:b/>
              </w:rPr>
              <w:t xml:space="preserve">Block Grant Implementation: </w:t>
            </w:r>
            <w:r w:rsidRPr="00D06A62">
              <w:rPr>
                <w:rFonts w:ascii="Arial" w:eastAsia="Times New Roman" w:hAnsi="Arial" w:cs="Arial"/>
              </w:rPr>
              <w:t xml:space="preserve">The Managing Entity shall ensure 100% of the cumulative annual Network Service Provider expenses comply with the Block Grants and maintenance of effort allocation standards established in </w:t>
            </w:r>
            <w:r w:rsidRPr="00D06A62">
              <w:rPr>
                <w:rFonts w:ascii="Arial" w:eastAsia="Times New Roman" w:hAnsi="Arial" w:cs="Arial"/>
                <w:b/>
              </w:rPr>
              <w:t>Section B1.2.2</w:t>
            </w:r>
            <w:r w:rsidRPr="00D06A62">
              <w:rPr>
                <w:rFonts w:ascii="Arial" w:eastAsia="Times New Roman" w:hAnsi="Arial" w:cs="Arial"/>
              </w:rPr>
              <w:t xml:space="preserve">. </w:t>
            </w:r>
            <w:r w:rsidRPr="00D06A62">
              <w:rPr>
                <w:rFonts w:ascii="Arial" w:eastAsia="Times New Roman" w:hAnsi="Arial" w:cs="Arial"/>
                <w:bCs/>
              </w:rPr>
              <w:t>Progress toward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75C0E125"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50% expended by </w:t>
            </w:r>
            <w:r w:rsidRPr="00D06A62">
              <w:rPr>
                <w:rFonts w:ascii="Calibri" w:eastAsia="Times New Roman" w:hAnsi="Calibri" w:cs="Arial"/>
                <w:b/>
                <w:bCs/>
              </w:rPr>
              <w:t xml:space="preserve">December </w:t>
            </w:r>
            <w:proofErr w:type="gramStart"/>
            <w:r w:rsidRPr="00D06A62">
              <w:rPr>
                <w:rFonts w:ascii="Calibri" w:eastAsia="Times New Roman" w:hAnsi="Calibri" w:cs="Arial"/>
                <w:b/>
                <w:bCs/>
              </w:rPr>
              <w:t>31</w:t>
            </w:r>
            <w:r w:rsidRPr="00D06A62">
              <w:rPr>
                <w:rFonts w:ascii="Arial" w:eastAsia="Times New Roman" w:hAnsi="Arial" w:cs="Arial"/>
              </w:rPr>
              <w:t>;</w:t>
            </w:r>
            <w:proofErr w:type="gramEnd"/>
          </w:p>
          <w:p w14:paraId="038A39D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 xml:space="preserve">A minimum of 100% by </w:t>
            </w:r>
            <w:r w:rsidRPr="00D06A62">
              <w:rPr>
                <w:rFonts w:ascii="Calibri" w:eastAsia="Times New Roman" w:hAnsi="Calibri" w:cs="Arial"/>
                <w:b/>
                <w:bCs/>
              </w:rPr>
              <w:t>June 30</w:t>
            </w:r>
            <w:r w:rsidRPr="00D06A62">
              <w:rPr>
                <w:rFonts w:ascii="Arial" w:eastAsia="Times New Roman" w:hAnsi="Arial" w:cs="Arial"/>
              </w:rPr>
              <w:t>.</w:t>
            </w:r>
          </w:p>
        </w:tc>
        <w:tc>
          <w:tcPr>
            <w:tcW w:w="1356" w:type="pct"/>
            <w:gridSpan w:val="3"/>
            <w:vAlign w:val="center"/>
          </w:tcPr>
          <w:p w14:paraId="68D88D4B"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Section E.1.1.</w:t>
            </w:r>
          </w:p>
        </w:tc>
        <w:tc>
          <w:tcPr>
            <w:tcW w:w="1185" w:type="pct"/>
            <w:vAlign w:val="center"/>
          </w:tcPr>
          <w:p w14:paraId="56B160F1"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E.1.9 Annually</w:t>
            </w:r>
          </w:p>
          <w:p w14:paraId="6DE0F090" w14:textId="77777777" w:rsidR="00D06A62" w:rsidRPr="00D06A62" w:rsidRDefault="00D06A62" w:rsidP="00D06A62">
            <w:pPr>
              <w:spacing w:after="120"/>
              <w:jc w:val="center"/>
              <w:rPr>
                <w:rFonts w:ascii="Arial" w:eastAsia="Times New Roman" w:hAnsi="Arial" w:cs="Arial"/>
              </w:rPr>
            </w:pPr>
            <w:r w:rsidRPr="00D06A62">
              <w:rPr>
                <w:rFonts w:ascii="Arial" w:eastAsia="Times New Roman" w:hAnsi="Arial" w:cs="Arial"/>
              </w:rPr>
              <w:t>E.1.10 Annually</w:t>
            </w:r>
          </w:p>
        </w:tc>
      </w:tr>
      <w:tr w:rsidR="00D06A62" w:rsidRPr="00D06A62" w14:paraId="394B656F" w14:textId="77777777" w:rsidTr="002C60A0">
        <w:tc>
          <w:tcPr>
            <w:tcW w:w="2381" w:type="pct"/>
            <w:gridSpan w:val="3"/>
            <w:vAlign w:val="center"/>
          </w:tcPr>
          <w:p w14:paraId="7E6979CC" w14:textId="77777777" w:rsidR="00D06A62" w:rsidRPr="00D06A62" w:rsidRDefault="00D06A62" w:rsidP="00D06A62">
            <w:pPr>
              <w:spacing w:after="120"/>
              <w:rPr>
                <w:rFonts w:ascii="Arial" w:eastAsia="Times New Roman" w:hAnsi="Arial" w:cs="Arial"/>
                <w:b/>
              </w:rPr>
            </w:pPr>
            <w:r w:rsidRPr="00D06A62">
              <w:rPr>
                <w:rFonts w:ascii="Arial" w:eastAsia="Times New Roman" w:hAnsi="Arial" w:cs="Arial"/>
                <w:b/>
              </w:rPr>
              <w:t xml:space="preserve">Implementation of General Appropriations Act: </w:t>
            </w:r>
            <w:r w:rsidRPr="00D06A62">
              <w:rPr>
                <w:rFonts w:ascii="Arial" w:eastAsia="Times New Roman" w:hAnsi="Arial" w:cs="Arial"/>
              </w:rPr>
              <w:t>The Managing Entity shall meet 100% of the following requirements:</w:t>
            </w:r>
          </w:p>
          <w:p w14:paraId="2F72946D"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rPr>
            </w:pPr>
            <w:r w:rsidRPr="00D06A62">
              <w:rPr>
                <w:rFonts w:ascii="Arial" w:eastAsia="Times New Roman" w:hAnsi="Arial" w:cs="Arial"/>
              </w:rPr>
              <w:t>Implementation of Specific Appropriations demonstrated by executed contracts with Network Service Providers no later than 60 days after execution of the initial Schedule of Funds amendment each fiscal year; and</w:t>
            </w:r>
          </w:p>
          <w:p w14:paraId="59B4E340" w14:textId="77777777" w:rsidR="00D06A62" w:rsidRPr="00D06A62" w:rsidRDefault="00D06A62" w:rsidP="00D06A62">
            <w:pPr>
              <w:numPr>
                <w:ilvl w:val="1"/>
                <w:numId w:val="2"/>
              </w:numPr>
              <w:tabs>
                <w:tab w:val="left" w:pos="737"/>
              </w:tabs>
              <w:spacing w:before="120" w:after="120"/>
              <w:ind w:left="17"/>
              <w:jc w:val="both"/>
              <w:rPr>
                <w:rFonts w:ascii="Arial" w:eastAsia="Times New Roman" w:hAnsi="Arial" w:cs="Arial"/>
                <w:b/>
              </w:rPr>
            </w:pPr>
            <w:r w:rsidRPr="00D06A62">
              <w:rPr>
                <w:rFonts w:ascii="Arial" w:eastAsia="Times New Roman" w:hAnsi="Arial" w:cs="Arial"/>
              </w:rPr>
              <w:lastRenderedPageBreak/>
              <w:t xml:space="preserve">Submission of all plans, pursuant to </w:t>
            </w:r>
            <w:r w:rsidRPr="00D06A62">
              <w:rPr>
                <w:rFonts w:ascii="Arial" w:eastAsia="Times New Roman" w:hAnsi="Arial" w:cs="Arial"/>
                <w:b/>
              </w:rPr>
              <w:t xml:space="preserve">Exhibit C2 </w:t>
            </w:r>
            <w:r w:rsidRPr="00D06A62">
              <w:rPr>
                <w:rFonts w:ascii="Arial" w:eastAsia="Times New Roman" w:hAnsi="Arial" w:cs="Arial"/>
              </w:rPr>
              <w:t xml:space="preserve">by </w:t>
            </w:r>
            <w:r w:rsidRPr="00D06A62">
              <w:rPr>
                <w:rFonts w:ascii="Calibri" w:eastAsia="Times New Roman" w:hAnsi="Calibri" w:cs="Arial"/>
                <w:b/>
                <w:bCs/>
              </w:rPr>
              <w:t>September 30</w:t>
            </w:r>
            <w:r w:rsidRPr="00D06A62">
              <w:rPr>
                <w:rFonts w:ascii="Arial" w:eastAsia="Times New Roman" w:hAnsi="Arial" w:cs="Arial"/>
              </w:rPr>
              <w:t>.</w:t>
            </w:r>
          </w:p>
        </w:tc>
        <w:tc>
          <w:tcPr>
            <w:tcW w:w="1356" w:type="pct"/>
            <w:gridSpan w:val="3"/>
            <w:vAlign w:val="center"/>
          </w:tcPr>
          <w:p w14:paraId="0B7EFD4C"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rPr>
              <w:lastRenderedPageBreak/>
              <w:t xml:space="preserve">The Managing Entity shall not be responsible for any financial consequences associated with special proviso contracts or agreements that are not fully executed by the annual deadline stipulated in this Contract unless such delays </w:t>
            </w:r>
            <w:r w:rsidRPr="00D06A62">
              <w:rPr>
                <w:rFonts w:ascii="Arial" w:eastAsia="Times New Roman" w:hAnsi="Arial" w:cs="Arial"/>
              </w:rPr>
              <w:lastRenderedPageBreak/>
              <w:t>are caused by the Managing Entity’s failure to demonstrate reasonable steps to provide the NSP with a contract or agreement in a timely manner. Delays attributed to the NSPs contract or amendment approval process, will not be considered a cause for imposing financial consequences on the managing entity.</w:t>
            </w:r>
          </w:p>
          <w:p w14:paraId="21C8076E" w14:textId="77777777" w:rsidR="00D06A62" w:rsidRPr="00D06A62" w:rsidRDefault="00D06A62" w:rsidP="00D06A62">
            <w:pPr>
              <w:spacing w:after="120"/>
              <w:rPr>
                <w:rFonts w:ascii="Arial" w:eastAsia="Times New Roman" w:hAnsi="Arial" w:cs="Arial"/>
              </w:rPr>
            </w:pPr>
            <w:r w:rsidRPr="00D06A62">
              <w:rPr>
                <w:rFonts w:ascii="Arial" w:eastAsia="Times New Roman" w:hAnsi="Arial" w:cs="Arial"/>
                <w:b/>
                <w:bCs/>
              </w:rPr>
              <w:t>Section E.1.1</w:t>
            </w:r>
            <w:r w:rsidRPr="00D06A62">
              <w:rPr>
                <w:rFonts w:ascii="Arial" w:eastAsia="Times New Roman" w:hAnsi="Arial" w:cs="Arial"/>
              </w:rPr>
              <w:t xml:space="preserve">. </w:t>
            </w:r>
          </w:p>
        </w:tc>
        <w:tc>
          <w:tcPr>
            <w:tcW w:w="1185" w:type="pct"/>
            <w:vAlign w:val="center"/>
          </w:tcPr>
          <w:p w14:paraId="11D1D0FE" w14:textId="77777777" w:rsidR="00D06A62" w:rsidRPr="00D06A62" w:rsidRDefault="00D06A62" w:rsidP="00D06A62">
            <w:pPr>
              <w:spacing w:after="120"/>
              <w:rPr>
                <w:rFonts w:ascii="Arial" w:eastAsia="Times New Roman" w:hAnsi="Arial" w:cs="Arial"/>
              </w:rPr>
            </w:pPr>
          </w:p>
        </w:tc>
      </w:tr>
      <w:bookmarkEnd w:id="0"/>
    </w:tbl>
    <w:p w14:paraId="1C7F1FE7" w14:textId="77777777" w:rsidR="00D06A62" w:rsidRPr="00D06A62" w:rsidRDefault="00D06A62" w:rsidP="00D06A62">
      <w:pPr>
        <w:tabs>
          <w:tab w:val="left" w:pos="540"/>
        </w:tabs>
        <w:spacing w:before="120" w:after="120" w:line="120" w:lineRule="auto"/>
        <w:rPr>
          <w:rFonts w:ascii="Arial" w:eastAsia="Times New Roman" w:hAnsi="Arial" w:cs="Arial"/>
          <w:kern w:val="0"/>
          <w14:ligatures w14:val="none"/>
        </w:rPr>
      </w:pPr>
    </w:p>
    <w:p w14:paraId="53F7ACD2"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bookmarkStart w:id="1" w:name="_Hlk120704045"/>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Measures in </w:t>
      </w:r>
      <w:r w:rsidRPr="00D06A62">
        <w:rPr>
          <w:rFonts w:ascii="Arial" w:eastAsia="Times New Roman" w:hAnsi="Arial" w:cs="Arial"/>
          <w:b/>
          <w:kern w:val="0"/>
          <w14:ligatures w14:val="none"/>
        </w:rPr>
        <w:t>Table 4</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p w14:paraId="5FADCE34"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10199" w:type="dxa"/>
        <w:tblLook w:val="04A0" w:firstRow="1" w:lastRow="0" w:firstColumn="1" w:lastColumn="0" w:noHBand="0" w:noVBand="1"/>
      </w:tblPr>
      <w:tblGrid>
        <w:gridCol w:w="968"/>
        <w:gridCol w:w="6449"/>
        <w:gridCol w:w="1173"/>
        <w:gridCol w:w="1609"/>
      </w:tblGrid>
      <w:tr w:rsidR="00D06A62" w:rsidRPr="00D06A62" w14:paraId="245F2BAD"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10199" w:type="dxa"/>
            <w:gridSpan w:val="4"/>
            <w:shd w:val="clear" w:color="auto" w:fill="DBDBDB"/>
            <w:vAlign w:val="center"/>
          </w:tcPr>
          <w:p w14:paraId="29CC7988"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4 – Network Service Provider Measures</w:t>
            </w:r>
          </w:p>
        </w:tc>
      </w:tr>
      <w:tr w:rsidR="00D06A62" w:rsidRPr="00D06A62" w14:paraId="1980B9A0"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7480" w:type="dxa"/>
            <w:gridSpan w:val="2"/>
            <w:shd w:val="clear" w:color="auto" w:fill="D9E2F3"/>
            <w:vAlign w:val="center"/>
          </w:tcPr>
          <w:p w14:paraId="721B5A72"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Target Population and Measure Description</w:t>
            </w:r>
          </w:p>
        </w:tc>
        <w:tc>
          <w:tcPr>
            <w:tcW w:w="1153" w:type="dxa"/>
            <w:shd w:val="clear" w:color="auto" w:fill="D9E2F3"/>
            <w:vAlign w:val="center"/>
          </w:tcPr>
          <w:p w14:paraId="1E69B603"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Network Target</w:t>
            </w:r>
          </w:p>
        </w:tc>
        <w:tc>
          <w:tcPr>
            <w:tcW w:w="1566" w:type="dxa"/>
            <w:shd w:val="clear" w:color="auto" w:fill="D9E2F3"/>
            <w:vAlign w:val="center"/>
          </w:tcPr>
          <w:p w14:paraId="5878487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Network Performance</w:t>
            </w:r>
          </w:p>
        </w:tc>
      </w:tr>
      <w:tr w:rsidR="00D06A62" w:rsidRPr="00D06A62" w14:paraId="011B24FB" w14:textId="77777777" w:rsidTr="00D06A62">
        <w:trPr>
          <w:trHeight w:val="269"/>
        </w:trPr>
        <w:tc>
          <w:tcPr>
            <w:tcW w:w="10199" w:type="dxa"/>
            <w:gridSpan w:val="4"/>
            <w:shd w:val="clear" w:color="auto" w:fill="D9E2F3"/>
            <w:vAlign w:val="center"/>
          </w:tcPr>
          <w:p w14:paraId="7A5DF208" w14:textId="77777777" w:rsidR="00D06A62" w:rsidRPr="00D06A62" w:rsidRDefault="00D06A62" w:rsidP="00D06A62">
            <w:pPr>
              <w:contextualSpacing/>
              <w:rPr>
                <w:rFonts w:ascii="Arial" w:eastAsia="Times New Roman" w:hAnsi="Arial" w:cs="Arial"/>
                <w:b/>
                <w:bCs/>
              </w:rPr>
            </w:pPr>
            <w:r w:rsidRPr="00D06A62">
              <w:rPr>
                <w:rFonts w:ascii="Arial" w:eastAsia="Times New Roman" w:hAnsi="Arial" w:cs="Arial"/>
                <w:b/>
                <w:bCs/>
              </w:rPr>
              <w:t>Adult Community Mental Health</w:t>
            </w:r>
          </w:p>
        </w:tc>
      </w:tr>
      <w:tr w:rsidR="00D06A62" w:rsidRPr="00D06A62" w14:paraId="0309D742" w14:textId="77777777" w:rsidTr="002C60A0">
        <w:trPr>
          <w:trHeight w:val="307"/>
        </w:trPr>
        <w:tc>
          <w:tcPr>
            <w:tcW w:w="0" w:type="dxa"/>
            <w:vAlign w:val="center"/>
            <w:hideMark/>
          </w:tcPr>
          <w:p w14:paraId="09665F45"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MH003</w:t>
            </w:r>
          </w:p>
        </w:tc>
        <w:tc>
          <w:tcPr>
            <w:tcW w:w="6512" w:type="dxa"/>
            <w:vAlign w:val="center"/>
            <w:hideMark/>
          </w:tcPr>
          <w:p w14:paraId="3761826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Average annual days worked for pay for adults with severe and persistent mental illness </w:t>
            </w:r>
          </w:p>
        </w:tc>
        <w:tc>
          <w:tcPr>
            <w:tcW w:w="1153" w:type="dxa"/>
            <w:vAlign w:val="center"/>
          </w:tcPr>
          <w:p w14:paraId="32D39DF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40</w:t>
            </w:r>
          </w:p>
        </w:tc>
        <w:tc>
          <w:tcPr>
            <w:tcW w:w="1566" w:type="dxa"/>
            <w:vAlign w:val="center"/>
          </w:tcPr>
          <w:p w14:paraId="7B5EE87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36</w:t>
            </w:r>
          </w:p>
        </w:tc>
      </w:tr>
      <w:tr w:rsidR="00D06A62" w:rsidRPr="00D06A62" w14:paraId="3295B48B" w14:textId="77777777" w:rsidTr="002C60A0">
        <w:trPr>
          <w:trHeight w:val="312"/>
        </w:trPr>
        <w:tc>
          <w:tcPr>
            <w:tcW w:w="0" w:type="dxa"/>
            <w:vAlign w:val="center"/>
            <w:hideMark/>
          </w:tcPr>
          <w:p w14:paraId="2B93BC58"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MH703</w:t>
            </w:r>
          </w:p>
        </w:tc>
        <w:tc>
          <w:tcPr>
            <w:tcW w:w="6512" w:type="dxa"/>
            <w:vAlign w:val="center"/>
            <w:hideMark/>
          </w:tcPr>
          <w:p w14:paraId="5DAD4CB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serious mental illness who are competitively employed </w:t>
            </w:r>
          </w:p>
        </w:tc>
        <w:tc>
          <w:tcPr>
            <w:tcW w:w="1153" w:type="dxa"/>
            <w:vAlign w:val="center"/>
          </w:tcPr>
          <w:p w14:paraId="5C65FE8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w:t>
            </w:r>
          </w:p>
        </w:tc>
        <w:tc>
          <w:tcPr>
            <w:tcW w:w="1566" w:type="dxa"/>
            <w:vAlign w:val="center"/>
          </w:tcPr>
          <w:p w14:paraId="4FE22A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21.6%</w:t>
            </w:r>
          </w:p>
        </w:tc>
      </w:tr>
      <w:tr w:rsidR="00D06A62" w:rsidRPr="00D06A62" w14:paraId="7E520555" w14:textId="77777777" w:rsidTr="002C60A0">
        <w:trPr>
          <w:trHeight w:val="305"/>
        </w:trPr>
        <w:tc>
          <w:tcPr>
            <w:tcW w:w="0" w:type="dxa"/>
            <w:vAlign w:val="center"/>
            <w:hideMark/>
          </w:tcPr>
          <w:p w14:paraId="343C08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MH742</w:t>
            </w:r>
          </w:p>
        </w:tc>
        <w:tc>
          <w:tcPr>
            <w:tcW w:w="6512" w:type="dxa"/>
            <w:vAlign w:val="center"/>
            <w:hideMark/>
          </w:tcPr>
          <w:p w14:paraId="7E17103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severe and persistent mental illnesses who live in stable housing environment </w:t>
            </w:r>
          </w:p>
        </w:tc>
        <w:tc>
          <w:tcPr>
            <w:tcW w:w="1153" w:type="dxa"/>
            <w:vAlign w:val="center"/>
          </w:tcPr>
          <w:p w14:paraId="55D703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c>
          <w:tcPr>
            <w:tcW w:w="1566" w:type="dxa"/>
            <w:vAlign w:val="center"/>
          </w:tcPr>
          <w:p w14:paraId="349CCC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81.0%</w:t>
            </w:r>
          </w:p>
        </w:tc>
      </w:tr>
      <w:tr w:rsidR="00D06A62" w:rsidRPr="00D06A62" w14:paraId="43DC6152" w14:textId="77777777" w:rsidTr="002C60A0">
        <w:trPr>
          <w:trHeight w:val="312"/>
        </w:trPr>
        <w:tc>
          <w:tcPr>
            <w:tcW w:w="0" w:type="dxa"/>
            <w:vAlign w:val="center"/>
            <w:hideMark/>
          </w:tcPr>
          <w:p w14:paraId="2BA37B0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MH743</w:t>
            </w:r>
          </w:p>
        </w:tc>
        <w:tc>
          <w:tcPr>
            <w:tcW w:w="6512" w:type="dxa"/>
            <w:vAlign w:val="center"/>
            <w:hideMark/>
          </w:tcPr>
          <w:p w14:paraId="39B46E3A"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adults in forensic involvement who live in stable housing environment</w:t>
            </w:r>
          </w:p>
        </w:tc>
        <w:tc>
          <w:tcPr>
            <w:tcW w:w="1153" w:type="dxa"/>
            <w:vAlign w:val="center"/>
          </w:tcPr>
          <w:p w14:paraId="59F56C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67%</w:t>
            </w:r>
          </w:p>
        </w:tc>
        <w:tc>
          <w:tcPr>
            <w:tcW w:w="1566" w:type="dxa"/>
            <w:vAlign w:val="center"/>
          </w:tcPr>
          <w:p w14:paraId="373D4066"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60.3%</w:t>
            </w:r>
          </w:p>
        </w:tc>
      </w:tr>
      <w:tr w:rsidR="00D06A62" w:rsidRPr="00D06A62" w14:paraId="754631F8" w14:textId="77777777" w:rsidTr="002C60A0">
        <w:trPr>
          <w:trHeight w:val="312"/>
        </w:trPr>
        <w:tc>
          <w:tcPr>
            <w:tcW w:w="0" w:type="dxa"/>
            <w:vAlign w:val="center"/>
            <w:hideMark/>
          </w:tcPr>
          <w:p w14:paraId="788E5F93"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MH744</w:t>
            </w:r>
          </w:p>
        </w:tc>
        <w:tc>
          <w:tcPr>
            <w:tcW w:w="6512" w:type="dxa"/>
            <w:vAlign w:val="center"/>
            <w:hideMark/>
          </w:tcPr>
          <w:p w14:paraId="08F593F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in mental health crisis who live in stable housing environment </w:t>
            </w:r>
          </w:p>
        </w:tc>
        <w:tc>
          <w:tcPr>
            <w:tcW w:w="1153" w:type="dxa"/>
            <w:vAlign w:val="center"/>
          </w:tcPr>
          <w:p w14:paraId="503A7DD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6EF983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64C2A5C0" w14:textId="77777777" w:rsidTr="00D06A62">
        <w:trPr>
          <w:trHeight w:val="217"/>
        </w:trPr>
        <w:tc>
          <w:tcPr>
            <w:tcW w:w="10199" w:type="dxa"/>
            <w:gridSpan w:val="4"/>
            <w:shd w:val="clear" w:color="auto" w:fill="D9E2F3"/>
            <w:vAlign w:val="center"/>
            <w:hideMark/>
          </w:tcPr>
          <w:p w14:paraId="20F7FD71"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Adult Substance Abuse</w:t>
            </w:r>
          </w:p>
        </w:tc>
      </w:tr>
      <w:tr w:rsidR="00D06A62" w:rsidRPr="00D06A62" w14:paraId="1C7FBE3E" w14:textId="77777777" w:rsidTr="002C60A0">
        <w:trPr>
          <w:trHeight w:val="312"/>
        </w:trPr>
        <w:tc>
          <w:tcPr>
            <w:tcW w:w="0" w:type="dxa"/>
            <w:vAlign w:val="center"/>
            <w:hideMark/>
          </w:tcPr>
          <w:p w14:paraId="1A5D9E74"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SA753</w:t>
            </w:r>
          </w:p>
        </w:tc>
        <w:tc>
          <w:tcPr>
            <w:tcW w:w="6512" w:type="dxa"/>
            <w:vAlign w:val="center"/>
            <w:hideMark/>
          </w:tcPr>
          <w:p w14:paraId="14948A9B"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Percentage change in individuals served who are employed from admission to discharge </w:t>
            </w:r>
          </w:p>
        </w:tc>
        <w:tc>
          <w:tcPr>
            <w:tcW w:w="1153" w:type="dxa"/>
            <w:vAlign w:val="center"/>
          </w:tcPr>
          <w:p w14:paraId="2196143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w:t>
            </w:r>
          </w:p>
        </w:tc>
        <w:tc>
          <w:tcPr>
            <w:tcW w:w="1566" w:type="dxa"/>
            <w:vAlign w:val="center"/>
          </w:tcPr>
          <w:p w14:paraId="1591FC1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28C82E24" w14:textId="77777777" w:rsidTr="002C60A0">
        <w:trPr>
          <w:trHeight w:val="269"/>
        </w:trPr>
        <w:tc>
          <w:tcPr>
            <w:tcW w:w="0" w:type="dxa"/>
            <w:vAlign w:val="center"/>
            <w:hideMark/>
          </w:tcPr>
          <w:p w14:paraId="6BB20E7D"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SA754</w:t>
            </w:r>
          </w:p>
        </w:tc>
        <w:tc>
          <w:tcPr>
            <w:tcW w:w="6512" w:type="dxa"/>
            <w:vAlign w:val="center"/>
            <w:hideMark/>
          </w:tcPr>
          <w:p w14:paraId="28E2B39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change in the number of adults arrested 30 days prior to admission versus 30 days prior to discharge</w:t>
            </w:r>
          </w:p>
        </w:tc>
        <w:tc>
          <w:tcPr>
            <w:tcW w:w="1153" w:type="dxa"/>
            <w:vAlign w:val="center"/>
          </w:tcPr>
          <w:p w14:paraId="1C0F99B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w:t>
            </w:r>
          </w:p>
        </w:tc>
        <w:tc>
          <w:tcPr>
            <w:tcW w:w="1566" w:type="dxa"/>
            <w:vAlign w:val="center"/>
          </w:tcPr>
          <w:p w14:paraId="1D88EBB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13.5%</w:t>
            </w:r>
          </w:p>
        </w:tc>
      </w:tr>
      <w:tr w:rsidR="00D06A62" w:rsidRPr="00D06A62" w14:paraId="54BD7514" w14:textId="77777777" w:rsidTr="002C60A0">
        <w:trPr>
          <w:trHeight w:val="312"/>
        </w:trPr>
        <w:tc>
          <w:tcPr>
            <w:tcW w:w="0" w:type="dxa"/>
            <w:vAlign w:val="center"/>
            <w:hideMark/>
          </w:tcPr>
          <w:p w14:paraId="229EE05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SA755</w:t>
            </w:r>
          </w:p>
        </w:tc>
        <w:tc>
          <w:tcPr>
            <w:tcW w:w="6512" w:type="dxa"/>
            <w:vAlign w:val="center"/>
            <w:hideMark/>
          </w:tcPr>
          <w:p w14:paraId="4410309C"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who successfully complete substance abuse treatment services </w:t>
            </w:r>
          </w:p>
        </w:tc>
        <w:tc>
          <w:tcPr>
            <w:tcW w:w="1153" w:type="dxa"/>
            <w:vAlign w:val="center"/>
          </w:tcPr>
          <w:p w14:paraId="3C259874"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51%</w:t>
            </w:r>
          </w:p>
        </w:tc>
        <w:tc>
          <w:tcPr>
            <w:tcW w:w="1566" w:type="dxa"/>
            <w:vAlign w:val="center"/>
          </w:tcPr>
          <w:p w14:paraId="0956746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45.9%</w:t>
            </w:r>
          </w:p>
        </w:tc>
      </w:tr>
      <w:tr w:rsidR="00D06A62" w:rsidRPr="00D06A62" w14:paraId="7ED644FA" w14:textId="77777777" w:rsidTr="002C60A0">
        <w:trPr>
          <w:trHeight w:val="215"/>
        </w:trPr>
        <w:tc>
          <w:tcPr>
            <w:tcW w:w="0" w:type="dxa"/>
            <w:vAlign w:val="center"/>
            <w:hideMark/>
          </w:tcPr>
          <w:p w14:paraId="0341674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lastRenderedPageBreak/>
              <w:t>SA756</w:t>
            </w:r>
          </w:p>
        </w:tc>
        <w:tc>
          <w:tcPr>
            <w:tcW w:w="6512" w:type="dxa"/>
            <w:vAlign w:val="center"/>
            <w:hideMark/>
          </w:tcPr>
          <w:p w14:paraId="7F2478B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adults with substance abuse who live in a stable housing environment at the time of discharge </w:t>
            </w:r>
          </w:p>
        </w:tc>
        <w:tc>
          <w:tcPr>
            <w:tcW w:w="1153" w:type="dxa"/>
            <w:vAlign w:val="center"/>
          </w:tcPr>
          <w:p w14:paraId="353807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w:t>
            </w:r>
          </w:p>
        </w:tc>
        <w:tc>
          <w:tcPr>
            <w:tcW w:w="1566" w:type="dxa"/>
            <w:vAlign w:val="center"/>
          </w:tcPr>
          <w:p w14:paraId="419150D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84.6%</w:t>
            </w:r>
          </w:p>
        </w:tc>
      </w:tr>
      <w:tr w:rsidR="00D06A62" w:rsidRPr="00D06A62" w14:paraId="7D3A0E63" w14:textId="77777777" w:rsidTr="00D06A62">
        <w:trPr>
          <w:trHeight w:val="190"/>
        </w:trPr>
        <w:tc>
          <w:tcPr>
            <w:tcW w:w="10199" w:type="dxa"/>
            <w:gridSpan w:val="4"/>
            <w:shd w:val="clear" w:color="auto" w:fill="D9E2F3"/>
            <w:vAlign w:val="center"/>
            <w:hideMark/>
          </w:tcPr>
          <w:p w14:paraId="7D212FF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Mental Health</w:t>
            </w:r>
          </w:p>
        </w:tc>
      </w:tr>
      <w:tr w:rsidR="00D06A62" w:rsidRPr="00D06A62" w14:paraId="06D01082" w14:textId="77777777" w:rsidTr="002C60A0">
        <w:trPr>
          <w:trHeight w:val="312"/>
        </w:trPr>
        <w:tc>
          <w:tcPr>
            <w:tcW w:w="0" w:type="dxa"/>
            <w:vAlign w:val="center"/>
            <w:hideMark/>
          </w:tcPr>
          <w:p w14:paraId="3746EF5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MH012</w:t>
            </w:r>
          </w:p>
        </w:tc>
        <w:tc>
          <w:tcPr>
            <w:tcW w:w="6512" w:type="dxa"/>
            <w:vAlign w:val="center"/>
          </w:tcPr>
          <w:p w14:paraId="3757B9F0"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of school days seriously emotionally disturbed (SED) children attended </w:t>
            </w:r>
          </w:p>
        </w:tc>
        <w:tc>
          <w:tcPr>
            <w:tcW w:w="1153" w:type="dxa"/>
            <w:vAlign w:val="center"/>
          </w:tcPr>
          <w:p w14:paraId="3B84F8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w:t>
            </w:r>
          </w:p>
        </w:tc>
        <w:tc>
          <w:tcPr>
            <w:tcW w:w="1566" w:type="dxa"/>
            <w:vAlign w:val="center"/>
          </w:tcPr>
          <w:p w14:paraId="774E02D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77.4%</w:t>
            </w:r>
          </w:p>
        </w:tc>
      </w:tr>
      <w:tr w:rsidR="00D06A62" w:rsidRPr="00D06A62" w14:paraId="054D21F6" w14:textId="77777777" w:rsidTr="002C60A0">
        <w:trPr>
          <w:trHeight w:val="278"/>
        </w:trPr>
        <w:tc>
          <w:tcPr>
            <w:tcW w:w="0" w:type="dxa"/>
            <w:vAlign w:val="center"/>
            <w:hideMark/>
          </w:tcPr>
          <w:p w14:paraId="7715FE66"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MH377</w:t>
            </w:r>
          </w:p>
        </w:tc>
        <w:tc>
          <w:tcPr>
            <w:tcW w:w="6512" w:type="dxa"/>
            <w:vAlign w:val="center"/>
            <w:hideMark/>
          </w:tcPr>
          <w:p w14:paraId="21CD919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disturbances (ED) who improve their level of functioning</w:t>
            </w:r>
          </w:p>
        </w:tc>
        <w:tc>
          <w:tcPr>
            <w:tcW w:w="1153" w:type="dxa"/>
            <w:vAlign w:val="center"/>
          </w:tcPr>
          <w:p w14:paraId="6656C4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64%</w:t>
            </w:r>
          </w:p>
        </w:tc>
        <w:tc>
          <w:tcPr>
            <w:tcW w:w="1566" w:type="dxa"/>
            <w:vAlign w:val="center"/>
          </w:tcPr>
          <w:p w14:paraId="29C8540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57.6%</w:t>
            </w:r>
          </w:p>
        </w:tc>
      </w:tr>
      <w:tr w:rsidR="00D06A62" w:rsidRPr="00D06A62" w14:paraId="64C9248D" w14:textId="77777777" w:rsidTr="002C60A0">
        <w:trPr>
          <w:trHeight w:val="350"/>
        </w:trPr>
        <w:tc>
          <w:tcPr>
            <w:tcW w:w="0" w:type="dxa"/>
            <w:vAlign w:val="center"/>
            <w:hideMark/>
          </w:tcPr>
          <w:p w14:paraId="7B1C866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MH378</w:t>
            </w:r>
          </w:p>
        </w:tc>
        <w:tc>
          <w:tcPr>
            <w:tcW w:w="6512" w:type="dxa"/>
            <w:vAlign w:val="center"/>
            <w:hideMark/>
          </w:tcPr>
          <w:p w14:paraId="105DD5F2"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disturbances (SED) who improve their level of functioning</w:t>
            </w:r>
          </w:p>
        </w:tc>
        <w:tc>
          <w:tcPr>
            <w:tcW w:w="1153" w:type="dxa"/>
            <w:vAlign w:val="center"/>
          </w:tcPr>
          <w:p w14:paraId="7AE5705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65%</w:t>
            </w:r>
          </w:p>
        </w:tc>
        <w:tc>
          <w:tcPr>
            <w:tcW w:w="1566" w:type="dxa"/>
            <w:vAlign w:val="center"/>
          </w:tcPr>
          <w:p w14:paraId="4F149C9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58.5%</w:t>
            </w:r>
          </w:p>
        </w:tc>
      </w:tr>
      <w:tr w:rsidR="00D06A62" w:rsidRPr="00D06A62" w14:paraId="4F6C052F" w14:textId="77777777" w:rsidTr="002C60A0">
        <w:trPr>
          <w:trHeight w:val="260"/>
        </w:trPr>
        <w:tc>
          <w:tcPr>
            <w:tcW w:w="0" w:type="dxa"/>
            <w:vAlign w:val="center"/>
            <w:hideMark/>
          </w:tcPr>
          <w:p w14:paraId="138C162F"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MH778</w:t>
            </w:r>
          </w:p>
        </w:tc>
        <w:tc>
          <w:tcPr>
            <w:tcW w:w="6512" w:type="dxa"/>
            <w:vAlign w:val="center"/>
            <w:hideMark/>
          </w:tcPr>
          <w:p w14:paraId="003BBE34"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emotional disturbance (ED) who live in a stable housing environment</w:t>
            </w:r>
          </w:p>
        </w:tc>
        <w:tc>
          <w:tcPr>
            <w:tcW w:w="1153" w:type="dxa"/>
            <w:vAlign w:val="center"/>
          </w:tcPr>
          <w:p w14:paraId="0EFC7C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95%</w:t>
            </w:r>
          </w:p>
        </w:tc>
        <w:tc>
          <w:tcPr>
            <w:tcW w:w="1566" w:type="dxa"/>
            <w:vAlign w:val="center"/>
          </w:tcPr>
          <w:p w14:paraId="072FCA2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85.5%</w:t>
            </w:r>
          </w:p>
        </w:tc>
      </w:tr>
      <w:tr w:rsidR="00D06A62" w:rsidRPr="00D06A62" w14:paraId="2AAC95F2" w14:textId="77777777" w:rsidTr="002C60A0">
        <w:trPr>
          <w:trHeight w:val="251"/>
        </w:trPr>
        <w:tc>
          <w:tcPr>
            <w:tcW w:w="0" w:type="dxa"/>
            <w:vAlign w:val="center"/>
            <w:hideMark/>
          </w:tcPr>
          <w:p w14:paraId="7E0FAA21"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MH779</w:t>
            </w:r>
          </w:p>
        </w:tc>
        <w:tc>
          <w:tcPr>
            <w:tcW w:w="6512" w:type="dxa"/>
            <w:vAlign w:val="center"/>
            <w:hideMark/>
          </w:tcPr>
          <w:p w14:paraId="39FEA00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serious emotional disturbance (SED) who live in a stable housing environment</w:t>
            </w:r>
          </w:p>
        </w:tc>
        <w:tc>
          <w:tcPr>
            <w:tcW w:w="1153" w:type="dxa"/>
            <w:vAlign w:val="center"/>
          </w:tcPr>
          <w:p w14:paraId="784E506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6F6FAF7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tr w:rsidR="00D06A62" w:rsidRPr="00D06A62" w14:paraId="773BAEA6" w14:textId="77777777" w:rsidTr="002C60A0">
        <w:trPr>
          <w:trHeight w:val="251"/>
        </w:trPr>
        <w:tc>
          <w:tcPr>
            <w:tcW w:w="0" w:type="dxa"/>
            <w:vAlign w:val="center"/>
            <w:hideMark/>
          </w:tcPr>
          <w:p w14:paraId="3A0133AA"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MH780</w:t>
            </w:r>
          </w:p>
        </w:tc>
        <w:tc>
          <w:tcPr>
            <w:tcW w:w="6512" w:type="dxa"/>
            <w:vAlign w:val="center"/>
            <w:hideMark/>
          </w:tcPr>
          <w:p w14:paraId="5B27D6E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at risk of emotional disturbance (ED) who live in a stable housing environment</w:t>
            </w:r>
          </w:p>
        </w:tc>
        <w:tc>
          <w:tcPr>
            <w:tcW w:w="1153" w:type="dxa"/>
            <w:vAlign w:val="center"/>
          </w:tcPr>
          <w:p w14:paraId="226D179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96%</w:t>
            </w:r>
          </w:p>
        </w:tc>
        <w:tc>
          <w:tcPr>
            <w:tcW w:w="1566" w:type="dxa"/>
            <w:vAlign w:val="center"/>
          </w:tcPr>
          <w:p w14:paraId="4E2EDF5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86.4%</w:t>
            </w:r>
          </w:p>
        </w:tc>
      </w:tr>
      <w:tr w:rsidR="00D06A62" w:rsidRPr="00D06A62" w14:paraId="1734E263" w14:textId="77777777" w:rsidTr="00D06A62">
        <w:trPr>
          <w:trHeight w:val="244"/>
        </w:trPr>
        <w:tc>
          <w:tcPr>
            <w:tcW w:w="10199" w:type="dxa"/>
            <w:gridSpan w:val="4"/>
            <w:shd w:val="clear" w:color="auto" w:fill="D9E2F3"/>
            <w:vAlign w:val="center"/>
            <w:hideMark/>
          </w:tcPr>
          <w:p w14:paraId="47A81B87" w14:textId="77777777" w:rsidR="00D06A62" w:rsidRPr="00D06A62" w:rsidRDefault="00D06A62" w:rsidP="00D06A62">
            <w:pPr>
              <w:contextualSpacing/>
              <w:jc w:val="both"/>
              <w:rPr>
                <w:rFonts w:ascii="Arial" w:eastAsia="Times New Roman" w:hAnsi="Arial" w:cs="Arial"/>
                <w:b/>
                <w:bCs/>
              </w:rPr>
            </w:pPr>
            <w:r w:rsidRPr="00D06A62">
              <w:rPr>
                <w:rFonts w:ascii="Arial" w:eastAsia="Times New Roman" w:hAnsi="Arial" w:cs="Arial"/>
                <w:b/>
                <w:bCs/>
              </w:rPr>
              <w:t>Children’s Substance Abuse</w:t>
            </w:r>
          </w:p>
        </w:tc>
      </w:tr>
      <w:tr w:rsidR="00D06A62" w:rsidRPr="00D06A62" w14:paraId="4E4BAB1A" w14:textId="77777777" w:rsidTr="002C60A0">
        <w:trPr>
          <w:trHeight w:val="233"/>
        </w:trPr>
        <w:tc>
          <w:tcPr>
            <w:tcW w:w="0" w:type="dxa"/>
            <w:vAlign w:val="center"/>
            <w:hideMark/>
          </w:tcPr>
          <w:p w14:paraId="62DDA95C"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SA725</w:t>
            </w:r>
          </w:p>
        </w:tc>
        <w:tc>
          <w:tcPr>
            <w:tcW w:w="6512" w:type="dxa"/>
            <w:vAlign w:val="center"/>
            <w:hideMark/>
          </w:tcPr>
          <w:p w14:paraId="6CB70D81"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who successfully complete substance abuse treatment services</w:t>
            </w:r>
          </w:p>
        </w:tc>
        <w:tc>
          <w:tcPr>
            <w:tcW w:w="1153" w:type="dxa"/>
            <w:vAlign w:val="center"/>
          </w:tcPr>
          <w:p w14:paraId="458DFAF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48%</w:t>
            </w:r>
          </w:p>
        </w:tc>
        <w:tc>
          <w:tcPr>
            <w:tcW w:w="1566" w:type="dxa"/>
            <w:vAlign w:val="center"/>
          </w:tcPr>
          <w:p w14:paraId="72E174D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43.2%</w:t>
            </w:r>
          </w:p>
        </w:tc>
      </w:tr>
      <w:tr w:rsidR="00D06A62" w:rsidRPr="00D06A62" w14:paraId="6F130325" w14:textId="77777777" w:rsidTr="002C60A0">
        <w:trPr>
          <w:trHeight w:val="316"/>
        </w:trPr>
        <w:tc>
          <w:tcPr>
            <w:tcW w:w="0" w:type="dxa"/>
            <w:vAlign w:val="center"/>
            <w:hideMark/>
          </w:tcPr>
          <w:p w14:paraId="47EFE660"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SA751</w:t>
            </w:r>
          </w:p>
        </w:tc>
        <w:tc>
          <w:tcPr>
            <w:tcW w:w="6512" w:type="dxa"/>
            <w:vAlign w:val="center"/>
            <w:hideMark/>
          </w:tcPr>
          <w:p w14:paraId="5965DA3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 xml:space="preserve">Percent change in the number of children arrested 30 days prior to admission versus 30 days prior to discharge </w:t>
            </w:r>
          </w:p>
        </w:tc>
        <w:tc>
          <w:tcPr>
            <w:tcW w:w="1153" w:type="dxa"/>
            <w:vAlign w:val="center"/>
          </w:tcPr>
          <w:p w14:paraId="3371A56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20%</w:t>
            </w:r>
          </w:p>
        </w:tc>
        <w:tc>
          <w:tcPr>
            <w:tcW w:w="1566" w:type="dxa"/>
            <w:vAlign w:val="center"/>
          </w:tcPr>
          <w:p w14:paraId="29E270E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18.0%</w:t>
            </w:r>
          </w:p>
        </w:tc>
      </w:tr>
      <w:tr w:rsidR="00D06A62" w:rsidRPr="00D06A62" w14:paraId="666F1A11" w14:textId="77777777" w:rsidTr="002C60A0">
        <w:trPr>
          <w:trHeight w:val="260"/>
        </w:trPr>
        <w:tc>
          <w:tcPr>
            <w:tcW w:w="0" w:type="dxa"/>
            <w:vAlign w:val="center"/>
            <w:hideMark/>
          </w:tcPr>
          <w:p w14:paraId="476C947B" w14:textId="77777777" w:rsidR="00D06A62" w:rsidRPr="00D06A62" w:rsidRDefault="00D06A62" w:rsidP="00D06A62">
            <w:pPr>
              <w:ind w:left="17"/>
              <w:contextualSpacing/>
              <w:jc w:val="center"/>
              <w:rPr>
                <w:rFonts w:ascii="Arial" w:eastAsia="Times New Roman" w:hAnsi="Arial" w:cs="Arial"/>
                <w:b/>
                <w:bCs/>
              </w:rPr>
            </w:pPr>
            <w:r w:rsidRPr="00D06A62">
              <w:rPr>
                <w:rFonts w:ascii="Arial" w:eastAsia="Times New Roman" w:hAnsi="Arial" w:cs="Arial"/>
                <w:b/>
                <w:bCs/>
              </w:rPr>
              <w:t>SA752</w:t>
            </w:r>
          </w:p>
        </w:tc>
        <w:tc>
          <w:tcPr>
            <w:tcW w:w="6512" w:type="dxa"/>
            <w:vAlign w:val="center"/>
            <w:hideMark/>
          </w:tcPr>
          <w:p w14:paraId="2B891E35"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Percent of children with substance abuse who live in a stable housing environment at the time of discharge</w:t>
            </w:r>
          </w:p>
        </w:tc>
        <w:tc>
          <w:tcPr>
            <w:tcW w:w="1153" w:type="dxa"/>
            <w:vAlign w:val="center"/>
          </w:tcPr>
          <w:p w14:paraId="4658A3D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93%</w:t>
            </w:r>
          </w:p>
        </w:tc>
        <w:tc>
          <w:tcPr>
            <w:tcW w:w="1566" w:type="dxa"/>
            <w:vAlign w:val="center"/>
          </w:tcPr>
          <w:p w14:paraId="5191EE48"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83.7%</w:t>
            </w:r>
          </w:p>
        </w:tc>
      </w:tr>
      <w:bookmarkEnd w:id="1"/>
    </w:tbl>
    <w:p w14:paraId="4F47FD2E"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p w14:paraId="17C8A2FB" w14:textId="77777777" w:rsidR="00D06A62" w:rsidRPr="00D06A62" w:rsidRDefault="00D06A62" w:rsidP="00D06A62">
      <w:pPr>
        <w:keepNext/>
        <w:keepLines/>
        <w:numPr>
          <w:ilvl w:val="0"/>
          <w:numId w:val="1"/>
        </w:numPr>
        <w:spacing w:before="60" w:after="60" w:line="240" w:lineRule="auto"/>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comply with the subcontract content requirements of </w:t>
      </w:r>
      <w:r w:rsidRPr="00D06A62">
        <w:rPr>
          <w:rFonts w:ascii="Arial" w:eastAsia="Times New Roman" w:hAnsi="Arial" w:cs="Arial"/>
          <w:b/>
          <w:kern w:val="0"/>
          <w14:ligatures w14:val="none"/>
        </w:rPr>
        <w:t>Section C.2.2</w:t>
      </w:r>
      <w:r w:rsidRPr="00D06A62">
        <w:rPr>
          <w:rFonts w:ascii="Arial" w:eastAsia="Times New Roman" w:hAnsi="Arial" w:cs="Arial"/>
          <w:kern w:val="0"/>
          <w14:ligatures w14:val="none"/>
        </w:rPr>
        <w:t xml:space="preserve">, the Managing Entity shall incorporate the Network Service provider timely access measures in </w:t>
      </w:r>
      <w:r w:rsidRPr="00D06A62">
        <w:rPr>
          <w:rFonts w:ascii="Arial" w:eastAsia="Times New Roman" w:hAnsi="Arial" w:cs="Arial"/>
          <w:b/>
          <w:kern w:val="0"/>
          <w14:ligatures w14:val="none"/>
        </w:rPr>
        <w:t>Table 5</w:t>
      </w:r>
      <w:r w:rsidRPr="00D06A62">
        <w:rPr>
          <w:rFonts w:ascii="Arial" w:eastAsia="Times New Roman" w:hAnsi="Arial" w:cs="Arial"/>
          <w:kern w:val="0"/>
          <w14:ligatures w14:val="none"/>
        </w:rPr>
        <w:t xml:space="preserve"> into each Network Service Provider subcontract, as appropriate to the services and target populations in each subcontract. The Managing Entity shall establish specific targets for each measure in each subcontract, sufficient to ensure the Network cumulatively reaches the specified network targets.</w:t>
      </w:r>
    </w:p>
    <w:p w14:paraId="072145CA" w14:textId="77777777" w:rsidR="00D06A62" w:rsidRPr="00D06A62" w:rsidRDefault="00D06A62" w:rsidP="00D06A62">
      <w:pPr>
        <w:keepNext/>
        <w:keepLines/>
        <w:spacing w:before="60" w:after="60" w:line="240" w:lineRule="auto"/>
        <w:contextualSpacing/>
        <w:rPr>
          <w:rFonts w:ascii="Arial" w:eastAsia="Times New Roman" w:hAnsi="Arial" w:cs="Arial"/>
          <w:kern w:val="0"/>
          <w14:ligatures w14:val="none"/>
        </w:rPr>
      </w:pPr>
    </w:p>
    <w:tbl>
      <w:tblPr>
        <w:tblStyle w:val="Style12"/>
        <w:tblW w:w="9578" w:type="dxa"/>
        <w:tblLayout w:type="fixed"/>
        <w:tblLook w:val="04A0" w:firstRow="1" w:lastRow="0" w:firstColumn="1" w:lastColumn="0" w:noHBand="0" w:noVBand="1"/>
      </w:tblPr>
      <w:tblGrid>
        <w:gridCol w:w="5857"/>
        <w:gridCol w:w="1244"/>
        <w:gridCol w:w="1128"/>
        <w:gridCol w:w="1349"/>
      </w:tblGrid>
      <w:tr w:rsidR="00D06A62" w:rsidRPr="00D06A62" w14:paraId="7C068CFB" w14:textId="77777777" w:rsidTr="00D06A62">
        <w:trPr>
          <w:cnfStyle w:val="100000000000" w:firstRow="1" w:lastRow="0" w:firstColumn="0" w:lastColumn="0" w:oddVBand="0" w:evenVBand="0" w:oddHBand="0" w:evenHBand="0" w:firstRowFirstColumn="0" w:firstRowLastColumn="0" w:lastRowFirstColumn="0" w:lastRowLastColumn="0"/>
          <w:trHeight w:val="236"/>
          <w:tblHeader/>
        </w:trPr>
        <w:tc>
          <w:tcPr>
            <w:tcW w:w="4958" w:type="pct"/>
            <w:gridSpan w:val="4"/>
            <w:shd w:val="clear" w:color="auto" w:fill="DBDBDB"/>
            <w:vAlign w:val="center"/>
          </w:tcPr>
          <w:p w14:paraId="227EF841" w14:textId="77777777" w:rsidR="00D06A62" w:rsidRPr="00D06A62" w:rsidRDefault="00D06A62" w:rsidP="00D06A62">
            <w:pPr>
              <w:keepNext/>
              <w:contextualSpacing/>
              <w:jc w:val="center"/>
              <w:rPr>
                <w:rFonts w:ascii="Arial" w:eastAsia="Times New Roman" w:hAnsi="Arial" w:cs="Arial"/>
                <w:b/>
                <w:bCs/>
              </w:rPr>
            </w:pPr>
            <w:r w:rsidRPr="00D06A62">
              <w:rPr>
                <w:rFonts w:ascii="Arial" w:eastAsia="Times New Roman" w:hAnsi="Arial" w:cs="Arial"/>
                <w:b/>
                <w:bCs/>
              </w:rPr>
              <w:t>Table 5 – Network Service Provider Timely Access Measures</w:t>
            </w:r>
          </w:p>
        </w:tc>
      </w:tr>
      <w:tr w:rsidR="00D06A62" w:rsidRPr="00D06A62" w14:paraId="1AE2EB56" w14:textId="77777777" w:rsidTr="00D06A62">
        <w:trPr>
          <w:cnfStyle w:val="100000000000" w:firstRow="1" w:lastRow="0" w:firstColumn="0" w:lastColumn="0" w:oddVBand="0" w:evenVBand="0" w:oddHBand="0" w:evenHBand="0" w:firstRowFirstColumn="0" w:firstRowLastColumn="0" w:lastRowFirstColumn="0" w:lastRowLastColumn="0"/>
          <w:trHeight w:val="269"/>
          <w:tblHeader/>
        </w:trPr>
        <w:tc>
          <w:tcPr>
            <w:tcW w:w="3065" w:type="pct"/>
            <w:shd w:val="clear" w:color="auto" w:fill="D9E2F3"/>
            <w:vAlign w:val="center"/>
          </w:tcPr>
          <w:p w14:paraId="225B824E"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Measure Description</w:t>
            </w:r>
          </w:p>
        </w:tc>
        <w:tc>
          <w:tcPr>
            <w:tcW w:w="1872" w:type="pct"/>
            <w:gridSpan w:val="3"/>
            <w:shd w:val="clear" w:color="auto" w:fill="D9E2F3"/>
            <w:vAlign w:val="center"/>
          </w:tcPr>
          <w:p w14:paraId="2BA2AD66"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Minimum Acceptable ME Network Performance</w:t>
            </w:r>
          </w:p>
        </w:tc>
      </w:tr>
      <w:tr w:rsidR="00D06A62" w:rsidRPr="00D06A62" w14:paraId="4CD991AF" w14:textId="77777777" w:rsidTr="00D06A62">
        <w:trPr>
          <w:trHeight w:val="307"/>
        </w:trPr>
        <w:tc>
          <w:tcPr>
            <w:tcW w:w="3065" w:type="pct"/>
            <w:vAlign w:val="center"/>
          </w:tcPr>
          <w:p w14:paraId="0E6B0E73" w14:textId="77777777" w:rsidR="00D06A62" w:rsidRPr="00D06A62" w:rsidRDefault="00D06A62" w:rsidP="00D06A62">
            <w:pPr>
              <w:contextualSpacing/>
              <w:jc w:val="both"/>
              <w:rPr>
                <w:rFonts w:ascii="Arial" w:eastAsia="Times New Roman" w:hAnsi="Arial" w:cs="Arial"/>
              </w:rPr>
            </w:pPr>
          </w:p>
        </w:tc>
        <w:tc>
          <w:tcPr>
            <w:tcW w:w="637" w:type="pct"/>
            <w:shd w:val="clear" w:color="auto" w:fill="D9E2F3"/>
            <w:vAlign w:val="center"/>
          </w:tcPr>
          <w:p w14:paraId="3C15FAD7" w14:textId="77777777" w:rsidR="00D06A62" w:rsidRPr="00D06A62" w:rsidRDefault="00D06A62" w:rsidP="00D06A62">
            <w:pPr>
              <w:contextualSpacing/>
              <w:jc w:val="center"/>
              <w:rPr>
                <w:rFonts w:ascii="Arial" w:eastAsia="Times New Roman" w:hAnsi="Arial" w:cs="Arial"/>
                <w:b/>
                <w:bCs/>
              </w:rPr>
            </w:pPr>
            <w:r w:rsidRPr="00D06A62">
              <w:rPr>
                <w:rFonts w:ascii="Arial" w:eastAsia="Times New Roman" w:hAnsi="Arial" w:cs="Arial"/>
                <w:b/>
                <w:bCs/>
              </w:rPr>
              <w:t>Effective 7/1/2025</w:t>
            </w:r>
          </w:p>
        </w:tc>
        <w:tc>
          <w:tcPr>
            <w:tcW w:w="575" w:type="pct"/>
            <w:shd w:val="clear" w:color="auto" w:fill="D9E2F3"/>
            <w:vAlign w:val="center"/>
          </w:tcPr>
          <w:p w14:paraId="3244D2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7/1/2027</w:t>
            </w:r>
          </w:p>
        </w:tc>
        <w:tc>
          <w:tcPr>
            <w:tcW w:w="619" w:type="pct"/>
            <w:shd w:val="clear" w:color="auto" w:fill="D9E2F3"/>
            <w:vAlign w:val="center"/>
          </w:tcPr>
          <w:p w14:paraId="15432B1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b/>
                <w:bCs/>
              </w:rPr>
              <w:t>Effective 7/1/2029</w:t>
            </w:r>
          </w:p>
        </w:tc>
      </w:tr>
      <w:tr w:rsidR="00D06A62" w:rsidRPr="00D06A62" w14:paraId="4480E425" w14:textId="77777777" w:rsidTr="002C60A0">
        <w:trPr>
          <w:trHeight w:val="307"/>
        </w:trPr>
        <w:tc>
          <w:tcPr>
            <w:tcW w:w="3065" w:type="pct"/>
            <w:vAlign w:val="center"/>
          </w:tcPr>
          <w:p w14:paraId="51B6CF79"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urgent services (services needed to preclude a crisis) provided within 48 hours of a request.</w:t>
            </w:r>
          </w:p>
        </w:tc>
        <w:tc>
          <w:tcPr>
            <w:tcW w:w="637" w:type="pct"/>
            <w:vAlign w:val="center"/>
          </w:tcPr>
          <w:p w14:paraId="6D423A2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20BF062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B5AC69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6264444C" w14:textId="77777777" w:rsidTr="002C60A0">
        <w:trPr>
          <w:trHeight w:val="312"/>
        </w:trPr>
        <w:tc>
          <w:tcPr>
            <w:tcW w:w="3065" w:type="pct"/>
            <w:vAlign w:val="center"/>
          </w:tcPr>
          <w:p w14:paraId="1FBD4B1E"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rapid intervention for children, families, or individuals in distress or at risk for entry into foster care, justice systems or more intensive services within 72 hours from the date of a referral or request for assistance.</w:t>
            </w:r>
          </w:p>
        </w:tc>
        <w:tc>
          <w:tcPr>
            <w:tcW w:w="637" w:type="pct"/>
            <w:vAlign w:val="center"/>
          </w:tcPr>
          <w:p w14:paraId="3BF772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1EDF206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70EA2A43"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5896FD59" w14:textId="77777777" w:rsidTr="002C60A0">
        <w:trPr>
          <w:trHeight w:val="312"/>
        </w:trPr>
        <w:tc>
          <w:tcPr>
            <w:tcW w:w="3065" w:type="pct"/>
            <w:vAlign w:val="center"/>
          </w:tcPr>
          <w:p w14:paraId="3B9D1078"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Appointments for outpatient follow-up services provided within 7 days after discharge from an inpatient or residential setting.</w:t>
            </w:r>
          </w:p>
        </w:tc>
        <w:tc>
          <w:tcPr>
            <w:tcW w:w="637" w:type="pct"/>
            <w:vAlign w:val="center"/>
          </w:tcPr>
          <w:p w14:paraId="138DA4E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BFC45E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58127EC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r w:rsidR="00D06A62" w:rsidRPr="00D06A62" w14:paraId="07C22EA7" w14:textId="77777777" w:rsidTr="002C60A0">
        <w:trPr>
          <w:trHeight w:val="305"/>
        </w:trPr>
        <w:tc>
          <w:tcPr>
            <w:tcW w:w="3065" w:type="pct"/>
            <w:vAlign w:val="center"/>
          </w:tcPr>
          <w:p w14:paraId="338223BD"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lastRenderedPageBreak/>
              <w:t>Appointments for initial assessment are provided within 14 days of a request for treatment.</w:t>
            </w:r>
          </w:p>
        </w:tc>
        <w:tc>
          <w:tcPr>
            <w:tcW w:w="637" w:type="pct"/>
            <w:vAlign w:val="center"/>
          </w:tcPr>
          <w:p w14:paraId="22A1CC6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70%</w:t>
            </w:r>
          </w:p>
        </w:tc>
        <w:tc>
          <w:tcPr>
            <w:tcW w:w="575" w:type="pct"/>
            <w:vAlign w:val="center"/>
          </w:tcPr>
          <w:p w14:paraId="342C1F0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80%</w:t>
            </w:r>
          </w:p>
        </w:tc>
        <w:tc>
          <w:tcPr>
            <w:tcW w:w="619" w:type="pct"/>
            <w:vAlign w:val="center"/>
          </w:tcPr>
          <w:p w14:paraId="1BAE460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90%</w:t>
            </w:r>
          </w:p>
        </w:tc>
      </w:tr>
    </w:tbl>
    <w:p w14:paraId="3F846C8C"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p w14:paraId="56451352" w14:textId="77777777" w:rsidR="00D06A62" w:rsidRPr="00D06A62" w:rsidRDefault="00D06A62" w:rsidP="00D06A62">
      <w:pPr>
        <w:numPr>
          <w:ilvl w:val="0"/>
          <w:numId w:val="1"/>
        </w:numPr>
        <w:spacing w:before="60" w:after="60" w:line="240" w:lineRule="auto"/>
        <w:ind w:firstLine="7"/>
        <w:contextualSpacing/>
        <w:jc w:val="both"/>
        <w:rPr>
          <w:rFonts w:ascii="Arial" w:eastAsia="Times New Roman" w:hAnsi="Arial" w:cs="Arial"/>
          <w:kern w:val="0"/>
          <w14:ligatures w14:val="none"/>
        </w:rPr>
      </w:pPr>
      <w:r w:rsidRPr="00D06A62">
        <w:rPr>
          <w:rFonts w:ascii="Arial" w:eastAsia="Times New Roman" w:hAnsi="Arial" w:cs="Arial"/>
          <w:kern w:val="0"/>
          <w14:ligatures w14:val="none"/>
        </w:rPr>
        <w:t xml:space="preserve">To demonstrate delivery of the Service Tasks detailed in </w:t>
      </w:r>
      <w:r w:rsidRPr="00D06A62">
        <w:rPr>
          <w:rFonts w:ascii="Arial" w:eastAsia="Times New Roman" w:hAnsi="Arial" w:cs="Arial"/>
          <w:b/>
          <w:bCs/>
          <w:kern w:val="0"/>
          <w14:ligatures w14:val="none"/>
        </w:rPr>
        <w:t>Section C.1</w:t>
      </w:r>
      <w:r w:rsidRPr="00D06A62">
        <w:rPr>
          <w:rFonts w:ascii="Arial" w:eastAsia="Times New Roman" w:hAnsi="Arial" w:cs="Arial"/>
          <w:kern w:val="0"/>
          <w14:ligatures w14:val="none"/>
        </w:rPr>
        <w:t xml:space="preserve">, and the subcontract content requirements of </w:t>
      </w:r>
      <w:r w:rsidRPr="00D06A62">
        <w:rPr>
          <w:rFonts w:ascii="Arial" w:eastAsia="Times New Roman" w:hAnsi="Arial" w:cs="Arial"/>
          <w:b/>
          <w:bCs/>
          <w:kern w:val="0"/>
          <w14:ligatures w14:val="none"/>
        </w:rPr>
        <w:t>Section C.2.2.3</w:t>
      </w:r>
      <w:r w:rsidRPr="00D06A62">
        <w:rPr>
          <w:rFonts w:ascii="Arial" w:eastAsia="Times New Roman" w:hAnsi="Arial" w:cs="Arial"/>
          <w:kern w:val="0"/>
          <w14:ligatures w14:val="none"/>
        </w:rPr>
        <w:t xml:space="preserve">, the Managing Entity shall ensure the Network cumulatively reaches the annual output measures in </w:t>
      </w:r>
      <w:r w:rsidRPr="00D06A62">
        <w:rPr>
          <w:rFonts w:ascii="Arial" w:eastAsia="Times New Roman" w:hAnsi="Arial" w:cs="Arial"/>
          <w:b/>
          <w:bCs/>
          <w:kern w:val="0"/>
          <w14:ligatures w14:val="none"/>
        </w:rPr>
        <w:t>Table 6</w:t>
      </w:r>
      <w:r w:rsidRPr="00D06A62">
        <w:rPr>
          <w:rFonts w:ascii="Arial" w:eastAsia="Times New Roman" w:hAnsi="Arial" w:cs="Arial"/>
          <w:kern w:val="0"/>
          <w14:ligatures w14:val="none"/>
        </w:rPr>
        <w:t>.</w:t>
      </w:r>
    </w:p>
    <w:p w14:paraId="3303102D" w14:textId="77777777" w:rsidR="00D06A62" w:rsidRPr="00D06A62" w:rsidRDefault="00D06A62" w:rsidP="00D06A62">
      <w:pPr>
        <w:spacing w:before="60" w:after="60" w:line="240" w:lineRule="auto"/>
        <w:ind w:left="547"/>
        <w:contextualSpacing/>
        <w:rPr>
          <w:rFonts w:ascii="Arial" w:eastAsia="Times New Roman" w:hAnsi="Arial" w:cs="Arial"/>
          <w:kern w:val="0"/>
          <w14:ligatures w14:val="none"/>
        </w:rPr>
      </w:pPr>
    </w:p>
    <w:tbl>
      <w:tblPr>
        <w:tblStyle w:val="Style12"/>
        <w:tblW w:w="9532" w:type="dxa"/>
        <w:tblLayout w:type="fixed"/>
        <w:tblLook w:val="04A0" w:firstRow="1" w:lastRow="0" w:firstColumn="1" w:lastColumn="0" w:noHBand="0" w:noVBand="1"/>
      </w:tblPr>
      <w:tblGrid>
        <w:gridCol w:w="3412"/>
        <w:gridCol w:w="4410"/>
        <w:gridCol w:w="1710"/>
      </w:tblGrid>
      <w:tr w:rsidR="00D06A62" w:rsidRPr="00D06A62" w14:paraId="784C67BF"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9452" w:type="dxa"/>
            <w:gridSpan w:val="3"/>
            <w:shd w:val="clear" w:color="auto" w:fill="DBDBDB"/>
            <w:vAlign w:val="center"/>
          </w:tcPr>
          <w:p w14:paraId="17904A98"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Table 6 – Network Service Provider Output Measures</w:t>
            </w:r>
          </w:p>
          <w:p w14:paraId="158A5E3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Persons Served for Fiscal Year 2025-2026_________</w:t>
            </w:r>
          </w:p>
        </w:tc>
      </w:tr>
      <w:tr w:rsidR="00D06A62" w:rsidRPr="00D06A62" w14:paraId="33C621D0" w14:textId="77777777" w:rsidTr="00D06A62">
        <w:trPr>
          <w:cnfStyle w:val="100000000000" w:firstRow="1" w:lastRow="0" w:firstColumn="0" w:lastColumn="0" w:oddVBand="0" w:evenVBand="0" w:oddHBand="0" w:evenHBand="0" w:firstRowFirstColumn="0" w:firstRowLastColumn="0" w:lastRowFirstColumn="0" w:lastRowLastColumn="0"/>
          <w:tblHeader/>
        </w:trPr>
        <w:tc>
          <w:tcPr>
            <w:tcW w:w="3352" w:type="dxa"/>
            <w:shd w:val="clear" w:color="auto" w:fill="D9E2F3"/>
            <w:vAlign w:val="center"/>
            <w:hideMark/>
          </w:tcPr>
          <w:p w14:paraId="26350472"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Program</w:t>
            </w:r>
          </w:p>
        </w:tc>
        <w:tc>
          <w:tcPr>
            <w:tcW w:w="4370" w:type="dxa"/>
            <w:shd w:val="clear" w:color="auto" w:fill="D9E2F3"/>
            <w:vAlign w:val="center"/>
            <w:hideMark/>
          </w:tcPr>
          <w:p w14:paraId="5AF85F35"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Service Category</w:t>
            </w:r>
          </w:p>
        </w:tc>
        <w:tc>
          <w:tcPr>
            <w:tcW w:w="1650" w:type="dxa"/>
            <w:shd w:val="clear" w:color="auto" w:fill="D9E2F3"/>
            <w:vAlign w:val="center"/>
            <w:hideMark/>
          </w:tcPr>
          <w:p w14:paraId="05694D46"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FY Target</w:t>
            </w:r>
          </w:p>
        </w:tc>
      </w:tr>
      <w:tr w:rsidR="00D06A62" w:rsidRPr="00D06A62" w14:paraId="451E0141" w14:textId="77777777" w:rsidTr="00D06A62">
        <w:tc>
          <w:tcPr>
            <w:tcW w:w="3352" w:type="dxa"/>
            <w:vMerge w:val="restart"/>
            <w:shd w:val="clear" w:color="auto" w:fill="D9E2F3"/>
            <w:vAlign w:val="center"/>
            <w:hideMark/>
          </w:tcPr>
          <w:p w14:paraId="530C08EB"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Mental Health</w:t>
            </w:r>
          </w:p>
        </w:tc>
        <w:tc>
          <w:tcPr>
            <w:tcW w:w="4370" w:type="dxa"/>
            <w:noWrap/>
            <w:vAlign w:val="center"/>
            <w:hideMark/>
          </w:tcPr>
          <w:p w14:paraId="0FBF0FD7" w14:textId="77777777" w:rsidR="00D06A62" w:rsidRPr="00D06A62" w:rsidRDefault="00D06A62" w:rsidP="00D06A62">
            <w:pPr>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2FCF773C"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940</w:t>
            </w:r>
          </w:p>
        </w:tc>
      </w:tr>
      <w:tr w:rsidR="00D06A62" w:rsidRPr="00D06A62" w14:paraId="137DED2B" w14:textId="77777777" w:rsidTr="00D06A62">
        <w:tc>
          <w:tcPr>
            <w:tcW w:w="3352" w:type="dxa"/>
            <w:vMerge/>
            <w:shd w:val="clear" w:color="auto" w:fill="D9E2F3"/>
            <w:vAlign w:val="center"/>
            <w:hideMark/>
          </w:tcPr>
          <w:p w14:paraId="2B22E6E4"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75008F38"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318341B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47,984</w:t>
            </w:r>
          </w:p>
        </w:tc>
      </w:tr>
      <w:tr w:rsidR="00D06A62" w:rsidRPr="00D06A62" w14:paraId="6928C3D6" w14:textId="77777777" w:rsidTr="00D06A62">
        <w:tc>
          <w:tcPr>
            <w:tcW w:w="3352" w:type="dxa"/>
            <w:vMerge/>
            <w:shd w:val="clear" w:color="auto" w:fill="D9E2F3"/>
            <w:vAlign w:val="center"/>
            <w:hideMark/>
          </w:tcPr>
          <w:p w14:paraId="6100479C"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62C826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33734B9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10,499</w:t>
            </w:r>
          </w:p>
        </w:tc>
      </w:tr>
      <w:tr w:rsidR="00D06A62" w:rsidRPr="00D06A62" w14:paraId="2C65C5B1" w14:textId="77777777" w:rsidTr="00D06A62">
        <w:tc>
          <w:tcPr>
            <w:tcW w:w="3352" w:type="dxa"/>
            <w:vMerge/>
            <w:shd w:val="clear" w:color="auto" w:fill="D9E2F3"/>
            <w:vAlign w:val="center"/>
            <w:hideMark/>
          </w:tcPr>
          <w:p w14:paraId="5BEDE7F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0E8FF4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State Hospital Discharges</w:t>
            </w:r>
          </w:p>
        </w:tc>
        <w:tc>
          <w:tcPr>
            <w:tcW w:w="1650" w:type="dxa"/>
            <w:vAlign w:val="center"/>
          </w:tcPr>
          <w:p w14:paraId="1595BC4E"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50</w:t>
            </w:r>
          </w:p>
        </w:tc>
      </w:tr>
      <w:tr w:rsidR="00D06A62" w:rsidRPr="00D06A62" w14:paraId="3A8B2F42" w14:textId="77777777" w:rsidTr="00D06A62">
        <w:tc>
          <w:tcPr>
            <w:tcW w:w="3352" w:type="dxa"/>
            <w:vMerge/>
            <w:shd w:val="clear" w:color="auto" w:fill="D9E2F3"/>
            <w:vAlign w:val="center"/>
            <w:hideMark/>
          </w:tcPr>
          <w:p w14:paraId="575DEA78"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48F8EF4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vAlign w:val="center"/>
          </w:tcPr>
          <w:p w14:paraId="10FFA5E0"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1,823</w:t>
            </w:r>
          </w:p>
        </w:tc>
      </w:tr>
      <w:tr w:rsidR="00D06A62" w:rsidRPr="00D06A62" w14:paraId="3F9BF334" w14:textId="77777777" w:rsidTr="00D06A62">
        <w:tc>
          <w:tcPr>
            <w:tcW w:w="3352" w:type="dxa"/>
            <w:vMerge w:val="restart"/>
            <w:shd w:val="clear" w:color="auto" w:fill="D9E2F3"/>
            <w:vAlign w:val="center"/>
            <w:hideMark/>
          </w:tcPr>
          <w:p w14:paraId="08A0C940" w14:textId="77777777" w:rsidR="00D06A62" w:rsidRPr="00D06A62" w:rsidRDefault="00D06A62" w:rsidP="00D06A62">
            <w:pPr>
              <w:keepNext/>
              <w:contextualSpacing/>
              <w:jc w:val="center"/>
              <w:rPr>
                <w:rFonts w:ascii="Arial" w:eastAsia="Times New Roman" w:hAnsi="Arial" w:cs="Arial"/>
                <w:b/>
              </w:rPr>
            </w:pPr>
            <w:r w:rsidRPr="00D06A62">
              <w:rPr>
                <w:rFonts w:ascii="Arial" w:eastAsia="Times New Roman" w:hAnsi="Arial" w:cs="Arial"/>
                <w:b/>
              </w:rPr>
              <w:t>Children's Mental Health</w:t>
            </w:r>
          </w:p>
        </w:tc>
        <w:tc>
          <w:tcPr>
            <w:tcW w:w="4370" w:type="dxa"/>
            <w:noWrap/>
            <w:vAlign w:val="center"/>
            <w:hideMark/>
          </w:tcPr>
          <w:p w14:paraId="1B5560A9"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vAlign w:val="center"/>
          </w:tcPr>
          <w:p w14:paraId="356A0704"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12</w:t>
            </w:r>
          </w:p>
        </w:tc>
      </w:tr>
      <w:tr w:rsidR="00D06A62" w:rsidRPr="00D06A62" w14:paraId="73E29450" w14:textId="77777777" w:rsidTr="00D06A62">
        <w:tc>
          <w:tcPr>
            <w:tcW w:w="3352" w:type="dxa"/>
            <w:vMerge/>
            <w:shd w:val="clear" w:color="auto" w:fill="D9E2F3"/>
            <w:vAlign w:val="center"/>
            <w:hideMark/>
          </w:tcPr>
          <w:p w14:paraId="5CCDE80F" w14:textId="77777777" w:rsidR="00D06A62" w:rsidRPr="00D06A62" w:rsidRDefault="00D06A62" w:rsidP="00D06A62">
            <w:pPr>
              <w:keepNext/>
              <w:contextualSpacing/>
              <w:jc w:val="center"/>
              <w:rPr>
                <w:rFonts w:ascii="Arial" w:eastAsia="Times New Roman" w:hAnsi="Arial" w:cs="Arial"/>
                <w:b/>
              </w:rPr>
            </w:pPr>
          </w:p>
        </w:tc>
        <w:tc>
          <w:tcPr>
            <w:tcW w:w="4370" w:type="dxa"/>
            <w:noWrap/>
            <w:vAlign w:val="center"/>
            <w:hideMark/>
          </w:tcPr>
          <w:p w14:paraId="624C5CF1" w14:textId="77777777" w:rsidR="00D06A62" w:rsidRPr="00D06A62" w:rsidRDefault="00D06A62" w:rsidP="00D06A62">
            <w:pPr>
              <w:keepNext/>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vAlign w:val="center"/>
          </w:tcPr>
          <w:p w14:paraId="26966D0F" w14:textId="77777777" w:rsidR="00D06A62" w:rsidRPr="00D06A62" w:rsidRDefault="00D06A62" w:rsidP="00D06A62">
            <w:pPr>
              <w:keepNext/>
              <w:contextualSpacing/>
              <w:jc w:val="center"/>
              <w:rPr>
                <w:rFonts w:ascii="Arial" w:eastAsia="Times New Roman" w:hAnsi="Arial" w:cs="Arial"/>
              </w:rPr>
            </w:pPr>
            <w:r w:rsidRPr="00D06A62">
              <w:rPr>
                <w:rFonts w:ascii="Arial" w:eastAsia="Times New Roman" w:hAnsi="Arial" w:cs="Arial"/>
              </w:rPr>
              <w:t>9,799</w:t>
            </w:r>
          </w:p>
        </w:tc>
      </w:tr>
      <w:tr w:rsidR="00D06A62" w:rsidRPr="00D06A62" w14:paraId="519FF34B" w14:textId="77777777" w:rsidTr="00D06A62">
        <w:tc>
          <w:tcPr>
            <w:tcW w:w="3352" w:type="dxa"/>
            <w:vMerge/>
            <w:shd w:val="clear" w:color="auto" w:fill="D9E2F3"/>
            <w:vAlign w:val="center"/>
            <w:hideMark/>
          </w:tcPr>
          <w:p w14:paraId="5660C649"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9A3B6D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Crisis Care</w:t>
            </w:r>
          </w:p>
        </w:tc>
        <w:tc>
          <w:tcPr>
            <w:tcW w:w="1650" w:type="dxa"/>
            <w:vAlign w:val="center"/>
          </w:tcPr>
          <w:p w14:paraId="78AAF5AD"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1,508</w:t>
            </w:r>
          </w:p>
        </w:tc>
      </w:tr>
      <w:tr w:rsidR="00D06A62" w:rsidRPr="00D06A62" w14:paraId="701424B7" w14:textId="77777777" w:rsidTr="00D06A62">
        <w:tc>
          <w:tcPr>
            <w:tcW w:w="3352" w:type="dxa"/>
            <w:vMerge w:val="restart"/>
            <w:shd w:val="clear" w:color="auto" w:fill="D9E2F3"/>
            <w:vAlign w:val="center"/>
            <w:hideMark/>
          </w:tcPr>
          <w:p w14:paraId="0045716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Adult Substance Abuse</w:t>
            </w:r>
          </w:p>
        </w:tc>
        <w:tc>
          <w:tcPr>
            <w:tcW w:w="4370" w:type="dxa"/>
            <w:noWrap/>
            <w:vAlign w:val="center"/>
            <w:hideMark/>
          </w:tcPr>
          <w:p w14:paraId="031CE24D"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062261F2"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2,430</w:t>
            </w:r>
          </w:p>
        </w:tc>
      </w:tr>
      <w:tr w:rsidR="00D06A62" w:rsidRPr="00D06A62" w14:paraId="17925BE9" w14:textId="77777777" w:rsidTr="00D06A62">
        <w:tc>
          <w:tcPr>
            <w:tcW w:w="3352" w:type="dxa"/>
            <w:vMerge/>
            <w:shd w:val="clear" w:color="auto" w:fill="D9E2F3"/>
            <w:vAlign w:val="center"/>
            <w:hideMark/>
          </w:tcPr>
          <w:p w14:paraId="4FD17A0D"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324426CE"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7B917DC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19,187</w:t>
            </w:r>
          </w:p>
        </w:tc>
      </w:tr>
      <w:tr w:rsidR="00D06A62" w:rsidRPr="00D06A62" w14:paraId="7455E580" w14:textId="77777777" w:rsidTr="00D06A62">
        <w:tc>
          <w:tcPr>
            <w:tcW w:w="3352" w:type="dxa"/>
            <w:vMerge/>
            <w:shd w:val="clear" w:color="auto" w:fill="D9E2F3"/>
            <w:vAlign w:val="center"/>
            <w:hideMark/>
          </w:tcPr>
          <w:p w14:paraId="64DCCACA"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055C9CB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4CF529EA"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4,192</w:t>
            </w:r>
          </w:p>
        </w:tc>
      </w:tr>
      <w:tr w:rsidR="00D06A62" w:rsidRPr="00D06A62" w14:paraId="4A7CD963" w14:textId="77777777" w:rsidTr="00D06A62">
        <w:tc>
          <w:tcPr>
            <w:tcW w:w="3352" w:type="dxa"/>
            <w:vMerge/>
            <w:shd w:val="clear" w:color="auto" w:fill="D9E2F3"/>
            <w:vAlign w:val="center"/>
            <w:hideMark/>
          </w:tcPr>
          <w:p w14:paraId="1E524422"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550C7DBA"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Women’s Specific Services</w:t>
            </w:r>
          </w:p>
        </w:tc>
        <w:tc>
          <w:tcPr>
            <w:tcW w:w="1650" w:type="dxa"/>
            <w:noWrap/>
            <w:vAlign w:val="center"/>
          </w:tcPr>
          <w:p w14:paraId="5B403D4F"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247</w:t>
            </w:r>
          </w:p>
        </w:tc>
      </w:tr>
      <w:tr w:rsidR="00D06A62" w:rsidRPr="00D06A62" w14:paraId="04C6BFA1" w14:textId="77777777" w:rsidTr="00D06A62">
        <w:tc>
          <w:tcPr>
            <w:tcW w:w="3352" w:type="dxa"/>
            <w:vMerge/>
            <w:shd w:val="clear" w:color="auto" w:fill="D9E2F3"/>
            <w:vAlign w:val="center"/>
            <w:hideMark/>
          </w:tcPr>
          <w:p w14:paraId="32AC9510" w14:textId="77777777" w:rsidR="00D06A62" w:rsidRPr="00D06A62" w:rsidRDefault="00D06A62" w:rsidP="00D06A62">
            <w:pPr>
              <w:contextualSpacing/>
              <w:jc w:val="center"/>
              <w:rPr>
                <w:rFonts w:ascii="Arial" w:eastAsia="Times New Roman" w:hAnsi="Arial" w:cs="Arial"/>
                <w:b/>
              </w:rPr>
            </w:pPr>
          </w:p>
        </w:tc>
        <w:tc>
          <w:tcPr>
            <w:tcW w:w="4370" w:type="dxa"/>
            <w:noWrap/>
            <w:vAlign w:val="center"/>
            <w:hideMark/>
          </w:tcPr>
          <w:p w14:paraId="21DF6872"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Injecting Drug Users</w:t>
            </w:r>
          </w:p>
        </w:tc>
        <w:tc>
          <w:tcPr>
            <w:tcW w:w="1650" w:type="dxa"/>
            <w:noWrap/>
            <w:vAlign w:val="center"/>
          </w:tcPr>
          <w:p w14:paraId="12B6AAE5"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4,395</w:t>
            </w:r>
          </w:p>
        </w:tc>
      </w:tr>
      <w:tr w:rsidR="00D06A62" w:rsidRPr="00D06A62" w14:paraId="445C389E" w14:textId="77777777" w:rsidTr="00D06A62">
        <w:tc>
          <w:tcPr>
            <w:tcW w:w="3352" w:type="dxa"/>
            <w:vMerge/>
            <w:shd w:val="clear" w:color="auto" w:fill="D9E2F3"/>
            <w:vAlign w:val="center"/>
          </w:tcPr>
          <w:p w14:paraId="57B22BF3"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94CE66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Peer Support Services</w:t>
            </w:r>
          </w:p>
        </w:tc>
        <w:tc>
          <w:tcPr>
            <w:tcW w:w="1650" w:type="dxa"/>
            <w:noWrap/>
            <w:vAlign w:val="center"/>
          </w:tcPr>
          <w:p w14:paraId="463041E1"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3,174</w:t>
            </w:r>
          </w:p>
        </w:tc>
      </w:tr>
      <w:tr w:rsidR="00D06A62" w:rsidRPr="00D06A62" w14:paraId="7B049D1E" w14:textId="77777777" w:rsidTr="00D06A62">
        <w:tc>
          <w:tcPr>
            <w:tcW w:w="3352" w:type="dxa"/>
            <w:vMerge w:val="restart"/>
            <w:shd w:val="clear" w:color="auto" w:fill="D9E2F3"/>
            <w:vAlign w:val="center"/>
          </w:tcPr>
          <w:p w14:paraId="20F4E41C" w14:textId="77777777" w:rsidR="00D06A62" w:rsidRPr="00D06A62" w:rsidRDefault="00D06A62" w:rsidP="00D06A62">
            <w:pPr>
              <w:contextualSpacing/>
              <w:jc w:val="center"/>
              <w:rPr>
                <w:rFonts w:ascii="Arial" w:eastAsia="Times New Roman" w:hAnsi="Arial" w:cs="Arial"/>
                <w:b/>
              </w:rPr>
            </w:pPr>
            <w:r w:rsidRPr="00D06A62">
              <w:rPr>
                <w:rFonts w:ascii="Arial" w:eastAsia="Times New Roman" w:hAnsi="Arial" w:cs="Arial"/>
                <w:b/>
              </w:rPr>
              <w:t>Children's Substance Abuse</w:t>
            </w:r>
          </w:p>
        </w:tc>
        <w:tc>
          <w:tcPr>
            <w:tcW w:w="4370" w:type="dxa"/>
            <w:noWrap/>
            <w:vAlign w:val="center"/>
          </w:tcPr>
          <w:p w14:paraId="6DDFD06C"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Residential Care</w:t>
            </w:r>
          </w:p>
        </w:tc>
        <w:tc>
          <w:tcPr>
            <w:tcW w:w="1650" w:type="dxa"/>
            <w:noWrap/>
            <w:vAlign w:val="center"/>
          </w:tcPr>
          <w:p w14:paraId="3E4BBFA9"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29</w:t>
            </w:r>
          </w:p>
        </w:tc>
      </w:tr>
      <w:tr w:rsidR="00D06A62" w:rsidRPr="00D06A62" w14:paraId="7B369ACC" w14:textId="77777777" w:rsidTr="00D06A62">
        <w:tc>
          <w:tcPr>
            <w:tcW w:w="3352" w:type="dxa"/>
            <w:vMerge/>
            <w:shd w:val="clear" w:color="auto" w:fill="D9E2F3"/>
            <w:textDirection w:val="btLr"/>
            <w:vAlign w:val="center"/>
          </w:tcPr>
          <w:p w14:paraId="7B0C8939"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2AF93D54"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Outpatient Care</w:t>
            </w:r>
          </w:p>
        </w:tc>
        <w:tc>
          <w:tcPr>
            <w:tcW w:w="1650" w:type="dxa"/>
            <w:noWrap/>
            <w:vAlign w:val="center"/>
          </w:tcPr>
          <w:p w14:paraId="36B28F77"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3,455</w:t>
            </w:r>
          </w:p>
        </w:tc>
      </w:tr>
      <w:tr w:rsidR="00D06A62" w:rsidRPr="00D06A62" w14:paraId="19BB8C5D" w14:textId="77777777" w:rsidTr="00D06A62">
        <w:tc>
          <w:tcPr>
            <w:tcW w:w="3352" w:type="dxa"/>
            <w:vMerge/>
            <w:shd w:val="clear" w:color="auto" w:fill="D9E2F3"/>
            <w:textDirection w:val="btLr"/>
            <w:vAlign w:val="center"/>
          </w:tcPr>
          <w:p w14:paraId="78DD8AC1"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6620F7AF"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Detoxification</w:t>
            </w:r>
          </w:p>
        </w:tc>
        <w:tc>
          <w:tcPr>
            <w:tcW w:w="1650" w:type="dxa"/>
            <w:noWrap/>
            <w:vAlign w:val="center"/>
          </w:tcPr>
          <w:p w14:paraId="19CAF23B" w14:textId="77777777" w:rsidR="00D06A62" w:rsidRPr="00D06A62" w:rsidRDefault="00D06A62" w:rsidP="00D06A62">
            <w:pPr>
              <w:contextualSpacing/>
              <w:jc w:val="center"/>
              <w:rPr>
                <w:rFonts w:ascii="Arial" w:eastAsia="Times New Roman" w:hAnsi="Arial" w:cs="Arial"/>
              </w:rPr>
            </w:pPr>
            <w:r w:rsidRPr="00D06A62">
              <w:rPr>
                <w:rFonts w:ascii="Arial" w:eastAsia="Times New Roman" w:hAnsi="Arial" w:cs="Arial"/>
              </w:rPr>
              <w:t>108</w:t>
            </w:r>
          </w:p>
        </w:tc>
      </w:tr>
      <w:tr w:rsidR="00D06A62" w:rsidRPr="00D06A62" w14:paraId="12AFD26B" w14:textId="77777777" w:rsidTr="00D06A62">
        <w:tc>
          <w:tcPr>
            <w:tcW w:w="3352" w:type="dxa"/>
            <w:vMerge/>
            <w:shd w:val="clear" w:color="auto" w:fill="D9E2F3"/>
            <w:textDirection w:val="btLr"/>
            <w:vAlign w:val="center"/>
          </w:tcPr>
          <w:p w14:paraId="4B0497D6" w14:textId="77777777" w:rsidR="00D06A62" w:rsidRPr="00D06A62" w:rsidRDefault="00D06A62" w:rsidP="00D06A62">
            <w:pPr>
              <w:contextualSpacing/>
              <w:jc w:val="center"/>
              <w:rPr>
                <w:rFonts w:ascii="Arial" w:eastAsia="Times New Roman" w:hAnsi="Arial" w:cs="Arial"/>
                <w:b/>
              </w:rPr>
            </w:pPr>
          </w:p>
        </w:tc>
        <w:tc>
          <w:tcPr>
            <w:tcW w:w="4370" w:type="dxa"/>
            <w:noWrap/>
            <w:vAlign w:val="center"/>
          </w:tcPr>
          <w:p w14:paraId="0A41D499" w14:textId="77777777" w:rsidR="00D06A62" w:rsidRPr="00D06A62" w:rsidRDefault="00D06A62" w:rsidP="00D06A62">
            <w:pPr>
              <w:ind w:left="-1"/>
              <w:contextualSpacing/>
              <w:jc w:val="both"/>
              <w:rPr>
                <w:rFonts w:ascii="Arial" w:eastAsia="Times New Roman" w:hAnsi="Arial" w:cs="Arial"/>
              </w:rPr>
            </w:pPr>
            <w:r w:rsidRPr="00D06A62">
              <w:rPr>
                <w:rFonts w:ascii="Arial" w:eastAsia="Times New Roman" w:hAnsi="Arial" w:cs="Arial"/>
              </w:rPr>
              <w:t>Prevention</w:t>
            </w:r>
          </w:p>
        </w:tc>
        <w:tc>
          <w:tcPr>
            <w:tcW w:w="1650" w:type="dxa"/>
            <w:noWrap/>
            <w:vAlign w:val="center"/>
          </w:tcPr>
          <w:p w14:paraId="1A859B9F" w14:textId="77777777" w:rsidR="00D06A62" w:rsidRPr="00D06A62" w:rsidRDefault="00D06A62" w:rsidP="00D06A62">
            <w:pPr>
              <w:ind w:left="-1"/>
              <w:contextualSpacing/>
              <w:jc w:val="center"/>
              <w:rPr>
                <w:rFonts w:ascii="Arial" w:eastAsia="Times New Roman" w:hAnsi="Arial" w:cs="Arial"/>
              </w:rPr>
            </w:pPr>
            <w:r w:rsidRPr="00D06A62">
              <w:rPr>
                <w:rFonts w:ascii="Arial" w:eastAsia="Times New Roman" w:hAnsi="Arial" w:cs="Arial"/>
              </w:rPr>
              <w:t>1,598</w:t>
            </w:r>
          </w:p>
        </w:tc>
      </w:tr>
    </w:tbl>
    <w:p w14:paraId="7E281A6D" w14:textId="77777777" w:rsidR="00D06A62" w:rsidRPr="00D06A62" w:rsidRDefault="00D06A62" w:rsidP="00887FB7">
      <w:pPr>
        <w:keepNext/>
        <w:keepLines/>
        <w:spacing w:before="60" w:after="60" w:line="240" w:lineRule="auto"/>
        <w:outlineLvl w:val="0"/>
        <w:rPr>
          <w:rFonts w:ascii="Arial" w:eastAsia="Times New Roman" w:hAnsi="Arial" w:cs="Arial"/>
          <w:kern w:val="0"/>
          <w14:ligatures w14:val="none"/>
        </w:rPr>
      </w:pPr>
    </w:p>
    <w:p w14:paraId="638AB358"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If the Managing Entity fails to perform in accordance with this Contract or fails to perform the minimum level of service required by this Contract, the Department will apply financial consequences as stated herein. The parties agree that the financial consequences provided for under </w:t>
      </w:r>
      <w:r w:rsidRPr="00D06A62">
        <w:rPr>
          <w:rFonts w:ascii="Arial" w:eastAsia="Times New Roman" w:hAnsi="Arial" w:cs="Arial"/>
          <w:b/>
          <w:bCs/>
          <w:kern w:val="0"/>
          <w14:ligatures w14:val="none"/>
        </w:rPr>
        <w:t>Exhibit E</w:t>
      </w:r>
      <w:r w:rsidRPr="00D06A62">
        <w:rPr>
          <w:rFonts w:ascii="Arial" w:eastAsia="Times New Roman" w:hAnsi="Arial" w:cs="Arial"/>
          <w:kern w:val="0"/>
          <w14:ligatures w14:val="none"/>
        </w:rPr>
        <w:t xml:space="preserve"> constitute financial consequences under § 287.058(1)(h); and § 215.971(1)(c),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D06A62">
        <w:rPr>
          <w:rFonts w:ascii="Arial" w:eastAsia="Times New Roman" w:hAnsi="Arial" w:cs="Arial"/>
          <w:b/>
          <w:bCs/>
          <w:kern w:val="0"/>
          <w14:ligatures w14:val="none"/>
        </w:rPr>
        <w:t>Section 6.2</w:t>
      </w:r>
      <w:r w:rsidRPr="00D06A62">
        <w:rPr>
          <w:rFonts w:ascii="Arial" w:eastAsia="Times New Roman" w:hAnsi="Arial" w:cs="Arial"/>
          <w:kern w:val="0"/>
          <w14:ligatures w14:val="none"/>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D06A62">
        <w:rPr>
          <w:rFonts w:ascii="Arial" w:eastAsia="Times New Roman" w:hAnsi="Arial" w:cs="Arial"/>
          <w:b/>
          <w:bCs/>
          <w:kern w:val="0"/>
          <w14:ligatures w14:val="none"/>
        </w:rPr>
        <w:t>Section 3.5</w:t>
      </w:r>
      <w:r w:rsidRPr="00D06A62">
        <w:rPr>
          <w:rFonts w:ascii="Arial" w:eastAsia="Times New Roman" w:hAnsi="Arial" w:cs="Arial"/>
          <w:kern w:val="0"/>
          <w14:ligatures w14:val="none"/>
        </w:rPr>
        <w:t>, to the extent of such error.</w:t>
      </w:r>
    </w:p>
    <w:p w14:paraId="5B0F1899" w14:textId="77777777" w:rsidR="00D06A62" w:rsidRPr="00D06A62" w:rsidRDefault="00D06A62" w:rsidP="00887FB7">
      <w:pPr>
        <w:keepNext/>
        <w:keepLines/>
        <w:numPr>
          <w:ilvl w:val="0"/>
          <w:numId w:val="1"/>
        </w:numPr>
        <w:spacing w:before="60" w:after="60" w:line="240" w:lineRule="auto"/>
        <w:ind w:left="0" w:firstLine="0"/>
        <w:contextualSpacing/>
        <w:outlineLvl w:val="0"/>
        <w:rPr>
          <w:rFonts w:ascii="Arial" w:eastAsia="Times New Roman" w:hAnsi="Arial" w:cs="Arial"/>
          <w:b/>
          <w:bCs/>
          <w:kern w:val="0"/>
          <w14:ligatures w14:val="none"/>
        </w:rPr>
      </w:pPr>
      <w:r w:rsidRPr="00D06A62">
        <w:rPr>
          <w:rFonts w:ascii="Arial" w:eastAsia="Times New Roman" w:hAnsi="Arial" w:cs="Arial"/>
          <w:b/>
          <w:bCs/>
          <w:kern w:val="0"/>
          <w14:ligatures w14:val="none"/>
        </w:rPr>
        <w:t>Corrective Action for Performance Deficiencies</w:t>
      </w:r>
    </w:p>
    <w:p w14:paraId="6D2F996B" w14:textId="77777777" w:rsidR="00D06A62" w:rsidRPr="00D06A62" w:rsidRDefault="00D06A62" w:rsidP="00887FB7">
      <w:pPr>
        <w:keepNext/>
        <w:numPr>
          <w:ilvl w:val="1"/>
          <w:numId w:val="1"/>
        </w:numPr>
        <w:spacing w:before="60" w:after="60" w:line="240" w:lineRule="auto"/>
        <w:ind w:left="0" w:firstLine="0"/>
        <w:contextualSpacing/>
        <w:outlineLvl w:val="0"/>
        <w:rPr>
          <w:rFonts w:ascii="Arial" w:eastAsia="Times New Roman" w:hAnsi="Arial" w:cs="Arial"/>
          <w:b/>
          <w:kern w:val="0"/>
          <w14:ligatures w14:val="none"/>
        </w:rPr>
      </w:pPr>
      <w:r w:rsidRPr="00D06A62">
        <w:rPr>
          <w:rFonts w:ascii="Arial" w:eastAsia="Times New Roman" w:hAnsi="Arial" w:cs="Arial"/>
          <w:kern w:val="0"/>
          <w14:ligatures w14:val="none"/>
        </w:rPr>
        <w:t>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the Department’s satisfaction, the Department may terminate the contract. The Department has the exclusive authority to determine whether there are extenuating or mitigating circumstances.</w:t>
      </w:r>
    </w:p>
    <w:p w14:paraId="561D9707" w14:textId="77777777" w:rsidR="00D06A62" w:rsidRPr="00D06A62" w:rsidRDefault="00D06A62" w:rsidP="00887FB7">
      <w:pPr>
        <w:numPr>
          <w:ilvl w:val="1"/>
          <w:numId w:val="1"/>
        </w:numPr>
        <w:spacing w:before="60" w:after="60" w:line="240" w:lineRule="auto"/>
        <w:ind w:left="0" w:firstLine="0"/>
        <w:contextualSpacing/>
        <w:outlineLvl w:val="0"/>
        <w:rPr>
          <w:rFonts w:ascii="Arial" w:eastAsia="Yu Mincho" w:hAnsi="Arial" w:cs="Arial"/>
          <w:kern w:val="0"/>
          <w14:ligatures w14:val="none"/>
        </w:rPr>
      </w:pPr>
      <w:r w:rsidRPr="00D06A62">
        <w:rPr>
          <w:rFonts w:ascii="Arial" w:eastAsia="Times New Roman" w:hAnsi="Arial" w:cs="Arial"/>
          <w:kern w:val="0"/>
          <w14:ligatures w14:val="none"/>
        </w:rPr>
        <w:t xml:space="preserve">In accordance with the provisions of § 402.73(1), F.S., and Rule 65-29.001, F.A.C., corrective action plans shall be required for noncompliance, nonperformance, or unacceptable performance under this Contract, and penalties shall be imposed for failure to comply with a Department approved corrective action plan unless the Department determines that extenuating circumstances exist. </w:t>
      </w:r>
    </w:p>
    <w:p w14:paraId="4837DCCE" w14:textId="77777777" w:rsidR="00D06A62" w:rsidRPr="00D06A62" w:rsidRDefault="00D06A62" w:rsidP="00887FB7">
      <w:pPr>
        <w:numPr>
          <w:ilvl w:val="1"/>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Financial consequences may be imposed for failure to meet performance measures.</w:t>
      </w:r>
    </w:p>
    <w:p w14:paraId="221EAEF1" w14:textId="77777777" w:rsidR="00D06A62" w:rsidRPr="00D06A62" w:rsidRDefault="00D06A62" w:rsidP="00887FB7">
      <w:pPr>
        <w:numPr>
          <w:ilvl w:val="0"/>
          <w:numId w:val="1"/>
        </w:numPr>
        <w:spacing w:before="60" w:after="60" w:line="240" w:lineRule="auto"/>
        <w:ind w:left="0" w:firstLine="0"/>
        <w:contextualSpacing/>
        <w:outlineLvl w:val="0"/>
        <w:rPr>
          <w:rFonts w:ascii="Arial" w:eastAsia="Times New Roman" w:hAnsi="Arial" w:cs="Arial"/>
          <w:kern w:val="0"/>
          <w14:ligatures w14:val="none"/>
        </w:rPr>
      </w:pPr>
      <w:r w:rsidRPr="00D06A62">
        <w:rPr>
          <w:rFonts w:ascii="Arial" w:eastAsia="Times New Roman" w:hAnsi="Arial" w:cs="Arial"/>
          <w:kern w:val="0"/>
          <w14:ligatures w14:val="none"/>
        </w:rPr>
        <w:t xml:space="preserve">For reference purposes, </w:t>
      </w:r>
      <w:r w:rsidRPr="00D06A62">
        <w:rPr>
          <w:rFonts w:ascii="Arial" w:eastAsia="Times New Roman" w:hAnsi="Arial" w:cs="Arial"/>
          <w:b/>
          <w:bCs/>
          <w:kern w:val="0"/>
          <w14:ligatures w14:val="none"/>
        </w:rPr>
        <w:t xml:space="preserve">Table 7 </w:t>
      </w:r>
      <w:r w:rsidRPr="00D06A62">
        <w:rPr>
          <w:rFonts w:ascii="Arial" w:eastAsia="Times New Roman" w:hAnsi="Arial" w:cs="Arial"/>
          <w:kern w:val="0"/>
          <w14:ligatures w14:val="none"/>
        </w:rPr>
        <w:t xml:space="preserve">identifies additional minimum performance measures identified in other documents incorporated by reference into this Contract. The Managing Entity shall include the measures in </w:t>
      </w:r>
      <w:r w:rsidRPr="00D06A62">
        <w:rPr>
          <w:rFonts w:ascii="Arial" w:eastAsia="Times New Roman" w:hAnsi="Arial" w:cs="Arial"/>
          <w:b/>
          <w:bCs/>
          <w:kern w:val="0"/>
          <w14:ligatures w14:val="none"/>
        </w:rPr>
        <w:t>Table 7</w:t>
      </w:r>
      <w:r w:rsidRPr="00D06A62">
        <w:rPr>
          <w:rFonts w:ascii="Arial" w:eastAsia="Times New Roman" w:hAnsi="Arial" w:cs="Arial"/>
          <w:kern w:val="0"/>
          <w14:ligatures w14:val="none"/>
        </w:rPr>
        <w:t xml:space="preserve"> in subcontracts for the specified services or programs, wherever appropriate. </w:t>
      </w:r>
    </w:p>
    <w:p w14:paraId="0E2A20CE" w14:textId="77777777" w:rsidR="00D06A62" w:rsidRPr="00D06A62" w:rsidRDefault="00D06A62" w:rsidP="00D06A62">
      <w:pPr>
        <w:spacing w:before="60" w:after="60" w:line="240" w:lineRule="auto"/>
        <w:contextualSpacing/>
        <w:rPr>
          <w:rFonts w:ascii="Arial" w:eastAsia="Times New Roman" w:hAnsi="Arial" w:cs="Arial"/>
          <w:kern w:val="0"/>
          <w14:ligatures w14:val="none"/>
        </w:rPr>
      </w:pPr>
    </w:p>
    <w:tbl>
      <w:tblPr>
        <w:tblStyle w:val="Style12"/>
        <w:tblW w:w="10162" w:type="dxa"/>
        <w:jc w:val="center"/>
        <w:tblLayout w:type="fixed"/>
        <w:tblLook w:val="04A0" w:firstRow="1" w:lastRow="0" w:firstColumn="1" w:lastColumn="0" w:noHBand="0" w:noVBand="1"/>
      </w:tblPr>
      <w:tblGrid>
        <w:gridCol w:w="1575"/>
        <w:gridCol w:w="1443"/>
        <w:gridCol w:w="3904"/>
        <w:gridCol w:w="3240"/>
      </w:tblGrid>
      <w:tr w:rsidR="00D06A62" w:rsidRPr="00D06A62" w14:paraId="0BDB86C3"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0082" w:type="dxa"/>
            <w:gridSpan w:val="4"/>
            <w:shd w:val="clear" w:color="auto" w:fill="DBDBDB"/>
            <w:vAlign w:val="center"/>
          </w:tcPr>
          <w:p w14:paraId="01393CBB"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Table 7 – Network Service Provider Subcontracted Performance Measures</w:t>
            </w:r>
          </w:p>
        </w:tc>
      </w:tr>
      <w:tr w:rsidR="00D06A62" w:rsidRPr="00D06A62" w14:paraId="5AC9FD7D" w14:textId="77777777" w:rsidTr="00D06A62">
        <w:trPr>
          <w:cnfStyle w:val="100000000000" w:firstRow="1" w:lastRow="0" w:firstColumn="0" w:lastColumn="0" w:oddVBand="0" w:evenVBand="0" w:oddHBand="0" w:evenHBand="0" w:firstRowFirstColumn="0" w:firstRowLastColumn="0" w:lastRowFirstColumn="0" w:lastRowLastColumn="0"/>
          <w:cantSplit/>
          <w:tblHeader/>
          <w:jc w:val="center"/>
        </w:trPr>
        <w:tc>
          <w:tcPr>
            <w:tcW w:w="1515" w:type="dxa"/>
            <w:shd w:val="clear" w:color="auto" w:fill="DBDBDB"/>
            <w:vAlign w:val="center"/>
          </w:tcPr>
          <w:p w14:paraId="7FCD9C7C"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 xml:space="preserve">Service </w:t>
            </w:r>
          </w:p>
        </w:tc>
        <w:tc>
          <w:tcPr>
            <w:tcW w:w="1403" w:type="dxa"/>
            <w:shd w:val="clear" w:color="auto" w:fill="DBDBDB"/>
            <w:vAlign w:val="center"/>
          </w:tcPr>
          <w:p w14:paraId="0DF94EDA"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Required by</w:t>
            </w:r>
          </w:p>
        </w:tc>
        <w:tc>
          <w:tcPr>
            <w:tcW w:w="3864" w:type="dxa"/>
            <w:shd w:val="clear" w:color="auto" w:fill="DBDBDB"/>
            <w:vAlign w:val="center"/>
          </w:tcPr>
          <w:p w14:paraId="3052BE90"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Subcontracted Performance Measure</w:t>
            </w:r>
          </w:p>
        </w:tc>
        <w:tc>
          <w:tcPr>
            <w:tcW w:w="3180" w:type="dxa"/>
            <w:shd w:val="clear" w:color="auto" w:fill="DBDBDB"/>
            <w:vAlign w:val="center"/>
          </w:tcPr>
          <w:p w14:paraId="71656B15" w14:textId="77777777" w:rsidR="00D06A62" w:rsidRPr="00D06A62" w:rsidRDefault="00D06A62" w:rsidP="00D06A62">
            <w:pPr>
              <w:spacing w:before="100" w:beforeAutospacing="1" w:after="100" w:afterAutospacing="1"/>
              <w:contextualSpacing/>
              <w:jc w:val="center"/>
              <w:rPr>
                <w:rFonts w:ascii="Arial" w:eastAsia="Times New Roman" w:hAnsi="Arial" w:cs="Arial"/>
                <w:b/>
              </w:rPr>
            </w:pPr>
            <w:r w:rsidRPr="00D06A62">
              <w:rPr>
                <w:rFonts w:ascii="Arial" w:eastAsia="Times New Roman" w:hAnsi="Arial" w:cs="Arial"/>
                <w:b/>
              </w:rPr>
              <w:t>Target</w:t>
            </w:r>
          </w:p>
        </w:tc>
      </w:tr>
      <w:tr w:rsidR="00D06A62" w:rsidRPr="00D06A62" w14:paraId="733014BB" w14:textId="77777777" w:rsidTr="002C60A0">
        <w:trPr>
          <w:cantSplit/>
          <w:trHeight w:val="544"/>
          <w:jc w:val="center"/>
        </w:trPr>
        <w:tc>
          <w:tcPr>
            <w:tcW w:w="1515" w:type="dxa"/>
            <w:vMerge w:val="restart"/>
            <w:vAlign w:val="center"/>
          </w:tcPr>
          <w:p w14:paraId="120E7DC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Services</w:t>
            </w:r>
          </w:p>
        </w:tc>
        <w:tc>
          <w:tcPr>
            <w:tcW w:w="1403" w:type="dxa"/>
            <w:vMerge w:val="restart"/>
            <w:vAlign w:val="center"/>
          </w:tcPr>
          <w:p w14:paraId="50FCEFB2"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10, Section B.12.</w:t>
            </w:r>
          </w:p>
        </w:tc>
        <w:tc>
          <w:tcPr>
            <w:tcW w:w="3864" w:type="dxa"/>
            <w:vAlign w:val="center"/>
          </w:tcPr>
          <w:p w14:paraId="128471C8"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Data shall be submitted no later than the 15th of every month</w:t>
            </w:r>
          </w:p>
        </w:tc>
        <w:tc>
          <w:tcPr>
            <w:tcW w:w="3180" w:type="dxa"/>
            <w:vAlign w:val="center"/>
          </w:tcPr>
          <w:p w14:paraId="7E0DD1A1"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bCs/>
              </w:rPr>
              <w:t>90%</w:t>
            </w:r>
          </w:p>
        </w:tc>
      </w:tr>
      <w:tr w:rsidR="00D06A62" w:rsidRPr="00D06A62" w14:paraId="29AE56A6" w14:textId="77777777" w:rsidTr="002C60A0">
        <w:trPr>
          <w:cantSplit/>
          <w:jc w:val="center"/>
        </w:trPr>
        <w:tc>
          <w:tcPr>
            <w:tcW w:w="1515" w:type="dxa"/>
            <w:vMerge/>
            <w:vAlign w:val="center"/>
          </w:tcPr>
          <w:p w14:paraId="169844E5"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97BB8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A0184E1"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Department-identified errors in data submitted shall be corrected within thirty (30) days of notification</w:t>
            </w:r>
          </w:p>
        </w:tc>
        <w:tc>
          <w:tcPr>
            <w:tcW w:w="3180" w:type="dxa"/>
            <w:vAlign w:val="center"/>
          </w:tcPr>
          <w:p w14:paraId="075381FC"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90%</w:t>
            </w:r>
          </w:p>
        </w:tc>
      </w:tr>
      <w:tr w:rsidR="00D06A62" w:rsidRPr="00D06A62" w14:paraId="4D4F9035" w14:textId="77777777" w:rsidTr="002C60A0">
        <w:trPr>
          <w:cantSplit/>
          <w:jc w:val="center"/>
        </w:trPr>
        <w:tc>
          <w:tcPr>
            <w:tcW w:w="1515" w:type="dxa"/>
            <w:vMerge w:val="restart"/>
            <w:vAlign w:val="center"/>
          </w:tcPr>
          <w:p w14:paraId="203ED754"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Prevention Partnership Grants (PPG)</w:t>
            </w:r>
          </w:p>
        </w:tc>
        <w:tc>
          <w:tcPr>
            <w:tcW w:w="1403" w:type="dxa"/>
            <w:vAlign w:val="center"/>
          </w:tcPr>
          <w:p w14:paraId="25D76DC3"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3</w:t>
            </w:r>
          </w:p>
        </w:tc>
        <w:tc>
          <w:tcPr>
            <w:tcW w:w="3864" w:type="dxa"/>
            <w:vAlign w:val="center"/>
          </w:tcPr>
          <w:p w14:paraId="549A86D0"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Improvements in these state priorities for consumption reductions: </w:t>
            </w:r>
          </w:p>
          <w:p w14:paraId="4732C383"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Underage drinking; Marijuana use; and </w:t>
            </w:r>
          </w:p>
          <w:p w14:paraId="01834C4A"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Non-medical prescription drug use</w:t>
            </w:r>
          </w:p>
        </w:tc>
        <w:tc>
          <w:tcPr>
            <w:tcW w:w="3180" w:type="dxa"/>
            <w:vAlign w:val="center"/>
          </w:tcPr>
          <w:p w14:paraId="2512623D"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Demonstrated Improvement</w:t>
            </w:r>
          </w:p>
        </w:tc>
      </w:tr>
      <w:tr w:rsidR="00D06A62" w:rsidRPr="00D06A62" w14:paraId="041360F3" w14:textId="77777777" w:rsidTr="002C60A0">
        <w:trPr>
          <w:cantSplit/>
          <w:jc w:val="center"/>
        </w:trPr>
        <w:tc>
          <w:tcPr>
            <w:tcW w:w="1515" w:type="dxa"/>
            <w:vMerge/>
            <w:vAlign w:val="center"/>
          </w:tcPr>
          <w:p w14:paraId="005C22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Align w:val="center"/>
          </w:tcPr>
          <w:p w14:paraId="69A91C5B" w14:textId="77777777" w:rsidR="00D06A62" w:rsidRPr="00D06A62" w:rsidRDefault="00D06A62" w:rsidP="00D06A62">
            <w:pPr>
              <w:spacing w:before="100" w:beforeAutospacing="1" w:after="100" w:afterAutospacing="1"/>
              <w:contextualSpacing/>
              <w:rPr>
                <w:rFonts w:ascii="Arial" w:eastAsia="Times New Roman" w:hAnsi="Arial" w:cs="Arial"/>
              </w:rPr>
            </w:pPr>
            <w:r w:rsidRPr="00D06A62">
              <w:rPr>
                <w:rFonts w:ascii="Arial" w:eastAsia="Times New Roman" w:hAnsi="Arial" w:cs="Arial"/>
              </w:rPr>
              <w:t>Guidance 14, Section 4</w:t>
            </w:r>
          </w:p>
        </w:tc>
        <w:tc>
          <w:tcPr>
            <w:tcW w:w="3864" w:type="dxa"/>
            <w:vAlign w:val="center"/>
          </w:tcPr>
          <w:p w14:paraId="17B1ACCC"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rPr>
              <w:t>Quantify the activities of a program or strategy to evaluate the extent to which a program is implemented</w:t>
            </w:r>
          </w:p>
        </w:tc>
        <w:tc>
          <w:tcPr>
            <w:tcW w:w="3180" w:type="dxa"/>
            <w:vAlign w:val="center"/>
          </w:tcPr>
          <w:p w14:paraId="163ED8E4" w14:textId="77777777" w:rsidR="00D06A62" w:rsidRPr="00D06A62" w:rsidRDefault="00D06A62" w:rsidP="00D06A62">
            <w:pPr>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To be established by quantified data</w:t>
            </w:r>
          </w:p>
        </w:tc>
      </w:tr>
      <w:tr w:rsidR="00D06A62" w:rsidRPr="00D06A62" w14:paraId="64A7A9D2" w14:textId="77777777" w:rsidTr="002C60A0">
        <w:trPr>
          <w:cantSplit/>
          <w:jc w:val="center"/>
        </w:trPr>
        <w:tc>
          <w:tcPr>
            <w:tcW w:w="1515" w:type="dxa"/>
            <w:vMerge w:val="restart"/>
            <w:vAlign w:val="center"/>
          </w:tcPr>
          <w:p w14:paraId="767AEDA4"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lastRenderedPageBreak/>
              <w:t>Florida Assertive Community Treatment (FACT) Handbook</w:t>
            </w:r>
          </w:p>
        </w:tc>
        <w:tc>
          <w:tcPr>
            <w:tcW w:w="1403" w:type="dxa"/>
            <w:vMerge w:val="restart"/>
            <w:vAlign w:val="center"/>
          </w:tcPr>
          <w:p w14:paraId="64FBA297" w14:textId="77777777" w:rsidR="00D06A62" w:rsidRPr="00D06A62" w:rsidRDefault="00D06A62" w:rsidP="00D06A62">
            <w:pPr>
              <w:keepNext/>
              <w:spacing w:before="100" w:beforeAutospacing="1" w:after="100" w:afterAutospacing="1"/>
              <w:contextualSpacing/>
              <w:rPr>
                <w:rFonts w:ascii="Arial" w:eastAsia="Times New Roman" w:hAnsi="Arial" w:cs="Arial"/>
              </w:rPr>
            </w:pPr>
            <w:r w:rsidRPr="00D06A62">
              <w:rPr>
                <w:rFonts w:ascii="Arial" w:eastAsia="Times New Roman" w:hAnsi="Arial" w:cs="Arial"/>
              </w:rPr>
              <w:t>Guidance 16, Section VI.</w:t>
            </w:r>
          </w:p>
        </w:tc>
        <w:tc>
          <w:tcPr>
            <w:tcW w:w="3864" w:type="dxa"/>
            <w:vAlign w:val="center"/>
          </w:tcPr>
          <w:p w14:paraId="249957F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Stable Housing</w:t>
            </w:r>
          </w:p>
        </w:tc>
        <w:tc>
          <w:tcPr>
            <w:tcW w:w="3180" w:type="dxa"/>
            <w:vAlign w:val="center"/>
          </w:tcPr>
          <w:p w14:paraId="29D17CA6"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or most current guidance</w:t>
            </w:r>
          </w:p>
        </w:tc>
      </w:tr>
      <w:tr w:rsidR="00D06A62" w:rsidRPr="00D06A62" w14:paraId="6D5E865D" w14:textId="77777777" w:rsidTr="002C60A0">
        <w:trPr>
          <w:cantSplit/>
          <w:jc w:val="center"/>
        </w:trPr>
        <w:tc>
          <w:tcPr>
            <w:tcW w:w="1515" w:type="dxa"/>
            <w:vMerge/>
            <w:vAlign w:val="center"/>
          </w:tcPr>
          <w:p w14:paraId="0F2ABC00"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757B1640"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0E1195AE"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Days Worked</w:t>
            </w:r>
          </w:p>
        </w:tc>
        <w:tc>
          <w:tcPr>
            <w:tcW w:w="3180" w:type="dxa"/>
            <w:vAlign w:val="center"/>
          </w:tcPr>
          <w:p w14:paraId="53A7F493"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40 days or most current guidance</w:t>
            </w:r>
          </w:p>
        </w:tc>
      </w:tr>
      <w:tr w:rsidR="00D06A62" w:rsidRPr="00D06A62" w14:paraId="17251335" w14:textId="77777777" w:rsidTr="002C60A0">
        <w:trPr>
          <w:cantSplit/>
          <w:jc w:val="center"/>
        </w:trPr>
        <w:tc>
          <w:tcPr>
            <w:tcW w:w="1515" w:type="dxa"/>
            <w:vMerge/>
            <w:vAlign w:val="center"/>
          </w:tcPr>
          <w:p w14:paraId="5E558B41"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12CC24FE"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CB3D8B9"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Initial Assessments</w:t>
            </w:r>
          </w:p>
        </w:tc>
        <w:tc>
          <w:tcPr>
            <w:tcW w:w="3180" w:type="dxa"/>
            <w:vAlign w:val="center"/>
          </w:tcPr>
          <w:p w14:paraId="5A8E10BD"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on day of enrollment</w:t>
            </w:r>
          </w:p>
        </w:tc>
      </w:tr>
      <w:tr w:rsidR="00D06A62" w:rsidRPr="00D06A62" w14:paraId="4410E828" w14:textId="77777777" w:rsidTr="002C60A0">
        <w:trPr>
          <w:cantSplit/>
          <w:jc w:val="center"/>
        </w:trPr>
        <w:tc>
          <w:tcPr>
            <w:tcW w:w="1515" w:type="dxa"/>
            <w:vMerge/>
            <w:vAlign w:val="center"/>
          </w:tcPr>
          <w:p w14:paraId="045E84FD"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3920A23F"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33FD178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Comprehensive Assessments</w:t>
            </w:r>
          </w:p>
        </w:tc>
        <w:tc>
          <w:tcPr>
            <w:tcW w:w="3180" w:type="dxa"/>
            <w:vAlign w:val="center"/>
          </w:tcPr>
          <w:p w14:paraId="0F7CDC02"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60 days of enrollment</w:t>
            </w:r>
          </w:p>
        </w:tc>
      </w:tr>
      <w:tr w:rsidR="00D06A62" w:rsidRPr="00D06A62" w14:paraId="4842B433" w14:textId="77777777" w:rsidTr="002C60A0">
        <w:trPr>
          <w:cantSplit/>
          <w:jc w:val="center"/>
        </w:trPr>
        <w:tc>
          <w:tcPr>
            <w:tcW w:w="1515" w:type="dxa"/>
            <w:vMerge/>
            <w:vAlign w:val="center"/>
          </w:tcPr>
          <w:p w14:paraId="57A71F8C" w14:textId="77777777" w:rsidR="00D06A62" w:rsidRPr="00D06A62" w:rsidRDefault="00D06A62" w:rsidP="00D06A62">
            <w:pPr>
              <w:keepNext/>
              <w:spacing w:before="100" w:beforeAutospacing="1" w:after="100" w:afterAutospacing="1"/>
              <w:contextualSpacing/>
              <w:rPr>
                <w:rFonts w:ascii="Arial" w:eastAsia="Times New Roman" w:hAnsi="Arial" w:cs="Arial"/>
                <w:bCs/>
              </w:rPr>
            </w:pPr>
          </w:p>
        </w:tc>
        <w:tc>
          <w:tcPr>
            <w:tcW w:w="1403" w:type="dxa"/>
            <w:vMerge/>
            <w:vAlign w:val="center"/>
          </w:tcPr>
          <w:p w14:paraId="41720F9B" w14:textId="77777777" w:rsidR="00D06A62" w:rsidRPr="00D06A62" w:rsidRDefault="00D06A62" w:rsidP="00D06A62">
            <w:pPr>
              <w:keepNext/>
              <w:spacing w:before="100" w:beforeAutospacing="1" w:after="100" w:afterAutospacing="1"/>
              <w:contextualSpacing/>
              <w:rPr>
                <w:rFonts w:ascii="Arial" w:eastAsia="Times New Roman" w:hAnsi="Arial" w:cs="Arial"/>
              </w:rPr>
            </w:pPr>
          </w:p>
        </w:tc>
        <w:tc>
          <w:tcPr>
            <w:tcW w:w="3864" w:type="dxa"/>
            <w:vAlign w:val="center"/>
          </w:tcPr>
          <w:p w14:paraId="4FCD8DAA"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Individualized Comprehensive Recovery Plan</w:t>
            </w:r>
          </w:p>
        </w:tc>
        <w:tc>
          <w:tcPr>
            <w:tcW w:w="3180" w:type="dxa"/>
            <w:vAlign w:val="center"/>
          </w:tcPr>
          <w:p w14:paraId="1BC0A33A" w14:textId="77777777" w:rsidR="00D06A62" w:rsidRPr="00D06A62" w:rsidRDefault="00D06A62" w:rsidP="00D06A62">
            <w:pPr>
              <w:keepNext/>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90 days of enrollment</w:t>
            </w:r>
          </w:p>
        </w:tc>
      </w:tr>
      <w:tr w:rsidR="00D06A62" w:rsidRPr="00D06A62" w14:paraId="7DD4C1D4" w14:textId="77777777" w:rsidTr="002C60A0">
        <w:trPr>
          <w:cantSplit/>
          <w:jc w:val="center"/>
        </w:trPr>
        <w:tc>
          <w:tcPr>
            <w:tcW w:w="1515" w:type="dxa"/>
            <w:vMerge/>
            <w:vAlign w:val="center"/>
          </w:tcPr>
          <w:p w14:paraId="4207D0FC"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0E91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A76B80B"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snapToGrid w:val="0"/>
              </w:rPr>
              <w:t>Completed psychiatric/social functioning history timeline</w:t>
            </w:r>
          </w:p>
        </w:tc>
        <w:tc>
          <w:tcPr>
            <w:tcW w:w="3180" w:type="dxa"/>
            <w:vAlign w:val="center"/>
          </w:tcPr>
          <w:p w14:paraId="477F686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 within 120 days of enrollment</w:t>
            </w:r>
          </w:p>
        </w:tc>
      </w:tr>
      <w:tr w:rsidR="00D06A62" w:rsidRPr="00D06A62" w14:paraId="1056BE6E" w14:textId="77777777" w:rsidTr="002C60A0">
        <w:trPr>
          <w:cantSplit/>
          <w:jc w:val="center"/>
        </w:trPr>
        <w:tc>
          <w:tcPr>
            <w:tcW w:w="1515" w:type="dxa"/>
            <w:vMerge/>
            <w:vAlign w:val="center"/>
          </w:tcPr>
          <w:p w14:paraId="661CEBBB"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E8C5FBD"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A41CAB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Work Related Services</w:t>
            </w:r>
          </w:p>
        </w:tc>
        <w:tc>
          <w:tcPr>
            <w:tcW w:w="3180" w:type="dxa"/>
            <w:vAlign w:val="center"/>
          </w:tcPr>
          <w:p w14:paraId="790A046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50%</w:t>
            </w:r>
          </w:p>
        </w:tc>
      </w:tr>
      <w:tr w:rsidR="00D06A62" w:rsidRPr="00D06A62" w14:paraId="65AE48D2" w14:textId="77777777" w:rsidTr="002C60A0">
        <w:trPr>
          <w:cantSplit/>
          <w:jc w:val="center"/>
        </w:trPr>
        <w:tc>
          <w:tcPr>
            <w:tcW w:w="1515" w:type="dxa"/>
            <w:vMerge/>
            <w:vAlign w:val="center"/>
          </w:tcPr>
          <w:p w14:paraId="6AD436A2"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6A40D94A"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54DCD03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Housing Services</w:t>
            </w:r>
          </w:p>
        </w:tc>
        <w:tc>
          <w:tcPr>
            <w:tcW w:w="3180" w:type="dxa"/>
            <w:vAlign w:val="center"/>
          </w:tcPr>
          <w:p w14:paraId="362C89C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7B230DD0" w14:textId="77777777" w:rsidTr="002C60A0">
        <w:trPr>
          <w:cantSplit/>
          <w:jc w:val="center"/>
        </w:trPr>
        <w:tc>
          <w:tcPr>
            <w:tcW w:w="1515" w:type="dxa"/>
            <w:vMerge/>
            <w:vAlign w:val="center"/>
          </w:tcPr>
          <w:p w14:paraId="6A2C7C9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7B4F16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039D742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Staffing Requirements</w:t>
            </w:r>
          </w:p>
        </w:tc>
        <w:tc>
          <w:tcPr>
            <w:tcW w:w="3180" w:type="dxa"/>
            <w:vAlign w:val="center"/>
          </w:tcPr>
          <w:p w14:paraId="4A7EBCF0"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42263AAE" w14:textId="77777777" w:rsidTr="002C60A0">
        <w:trPr>
          <w:cantSplit/>
          <w:jc w:val="center"/>
        </w:trPr>
        <w:tc>
          <w:tcPr>
            <w:tcW w:w="1515" w:type="dxa"/>
            <w:vMerge/>
            <w:vAlign w:val="center"/>
          </w:tcPr>
          <w:p w14:paraId="0AD5E179"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4A378AA4"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4FCE8B72"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Admissions to SMHTF</w:t>
            </w:r>
          </w:p>
        </w:tc>
        <w:tc>
          <w:tcPr>
            <w:tcW w:w="3180" w:type="dxa"/>
            <w:vAlign w:val="center"/>
          </w:tcPr>
          <w:p w14:paraId="41C8746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30 days of discharge</w:t>
            </w:r>
          </w:p>
        </w:tc>
      </w:tr>
      <w:tr w:rsidR="00D06A62" w:rsidRPr="00D06A62" w14:paraId="72652942" w14:textId="77777777" w:rsidTr="002C60A0">
        <w:trPr>
          <w:cantSplit/>
          <w:jc w:val="center"/>
        </w:trPr>
        <w:tc>
          <w:tcPr>
            <w:tcW w:w="1515" w:type="dxa"/>
            <w:vMerge/>
            <w:vAlign w:val="center"/>
          </w:tcPr>
          <w:p w14:paraId="4FA605F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3EDB7F"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19777506"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Improved Level of Functioning</w:t>
            </w:r>
          </w:p>
        </w:tc>
        <w:tc>
          <w:tcPr>
            <w:tcW w:w="3180" w:type="dxa"/>
            <w:vAlign w:val="center"/>
          </w:tcPr>
          <w:p w14:paraId="16D13183"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75%</w:t>
            </w:r>
          </w:p>
        </w:tc>
      </w:tr>
      <w:tr w:rsidR="00D06A62" w:rsidRPr="00D06A62" w14:paraId="2F8671E9" w14:textId="77777777" w:rsidTr="002C60A0">
        <w:trPr>
          <w:cantSplit/>
          <w:jc w:val="center"/>
        </w:trPr>
        <w:tc>
          <w:tcPr>
            <w:tcW w:w="1515" w:type="dxa"/>
            <w:vMerge w:val="restart"/>
            <w:vAlign w:val="center"/>
          </w:tcPr>
          <w:p w14:paraId="2DECAB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Family Intensive Treatment (FIT) Model Guidelines and Requirements</w:t>
            </w:r>
          </w:p>
        </w:tc>
        <w:tc>
          <w:tcPr>
            <w:tcW w:w="1403" w:type="dxa"/>
            <w:vMerge w:val="restart"/>
            <w:vAlign w:val="center"/>
          </w:tcPr>
          <w:p w14:paraId="6B798EDF" w14:textId="77777777" w:rsidR="00D06A62" w:rsidRPr="00D06A62" w:rsidRDefault="00D06A62" w:rsidP="00D06A62">
            <w:pPr>
              <w:keepLines/>
              <w:spacing w:before="100" w:beforeAutospacing="1" w:after="100" w:afterAutospacing="1"/>
              <w:contextualSpacing/>
              <w:rPr>
                <w:rFonts w:ascii="Arial" w:eastAsia="Times New Roman" w:hAnsi="Arial" w:cs="Arial"/>
              </w:rPr>
            </w:pPr>
            <w:r w:rsidRPr="00D06A62">
              <w:rPr>
                <w:rFonts w:ascii="Arial" w:eastAsia="Times New Roman" w:hAnsi="Arial" w:cs="Arial"/>
              </w:rPr>
              <w:t>Guidance 18, Section IV.</w:t>
            </w:r>
          </w:p>
        </w:tc>
        <w:tc>
          <w:tcPr>
            <w:tcW w:w="3864" w:type="dxa"/>
            <w:vAlign w:val="center"/>
          </w:tcPr>
          <w:p w14:paraId="316B012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Stable Housing </w:t>
            </w:r>
          </w:p>
        </w:tc>
        <w:tc>
          <w:tcPr>
            <w:tcW w:w="3180" w:type="dxa"/>
            <w:vAlign w:val="center"/>
          </w:tcPr>
          <w:p w14:paraId="71178C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0FF5A1EA" w14:textId="77777777" w:rsidTr="002C60A0">
        <w:trPr>
          <w:cantSplit/>
          <w:jc w:val="center"/>
        </w:trPr>
        <w:tc>
          <w:tcPr>
            <w:tcW w:w="1515" w:type="dxa"/>
            <w:vMerge/>
            <w:vAlign w:val="center"/>
          </w:tcPr>
          <w:p w14:paraId="53CCBD67"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708AF660"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1E1AB88A"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Stable Employment</w:t>
            </w:r>
          </w:p>
        </w:tc>
        <w:tc>
          <w:tcPr>
            <w:tcW w:w="3180" w:type="dxa"/>
            <w:vAlign w:val="center"/>
          </w:tcPr>
          <w:p w14:paraId="02263CC2"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95%</w:t>
            </w:r>
          </w:p>
        </w:tc>
      </w:tr>
      <w:tr w:rsidR="00D06A62" w:rsidRPr="00D06A62" w14:paraId="54551D4A" w14:textId="77777777" w:rsidTr="002C60A0">
        <w:trPr>
          <w:cantSplit/>
          <w:jc w:val="center"/>
        </w:trPr>
        <w:tc>
          <w:tcPr>
            <w:tcW w:w="1515" w:type="dxa"/>
            <w:vMerge/>
            <w:vAlign w:val="center"/>
          </w:tcPr>
          <w:p w14:paraId="5D5153C4"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14077B2B"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7E0CE8D9"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Parenting Functioning</w:t>
            </w:r>
          </w:p>
        </w:tc>
        <w:tc>
          <w:tcPr>
            <w:tcW w:w="3180" w:type="dxa"/>
            <w:vAlign w:val="center"/>
          </w:tcPr>
          <w:p w14:paraId="504DD0EE" w14:textId="77777777" w:rsidR="00D06A62" w:rsidRPr="00D06A62"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344DA910" w14:textId="77777777" w:rsidTr="002C60A0">
        <w:trPr>
          <w:cantSplit/>
          <w:jc w:val="center"/>
        </w:trPr>
        <w:tc>
          <w:tcPr>
            <w:tcW w:w="1515" w:type="dxa"/>
            <w:vMerge/>
            <w:vAlign w:val="center"/>
          </w:tcPr>
          <w:p w14:paraId="60519020" w14:textId="77777777" w:rsidR="00D06A62" w:rsidRPr="00D06A62" w:rsidRDefault="00D06A62" w:rsidP="00D06A62">
            <w:pPr>
              <w:keepLines/>
              <w:spacing w:before="100" w:beforeAutospacing="1" w:after="100" w:afterAutospacing="1"/>
              <w:contextualSpacing/>
              <w:rPr>
                <w:rFonts w:ascii="Arial" w:eastAsia="Times New Roman" w:hAnsi="Arial" w:cs="Arial"/>
                <w:bCs/>
              </w:rPr>
            </w:pPr>
          </w:p>
        </w:tc>
        <w:tc>
          <w:tcPr>
            <w:tcW w:w="1403" w:type="dxa"/>
            <w:vMerge/>
            <w:vAlign w:val="center"/>
          </w:tcPr>
          <w:p w14:paraId="3412F936" w14:textId="77777777" w:rsidR="00D06A62" w:rsidRPr="00D06A62" w:rsidRDefault="00D06A62" w:rsidP="00D06A62">
            <w:pPr>
              <w:keepLines/>
              <w:spacing w:before="100" w:beforeAutospacing="1" w:after="100" w:afterAutospacing="1"/>
              <w:contextualSpacing/>
              <w:rPr>
                <w:rFonts w:ascii="Arial" w:eastAsia="Times New Roman" w:hAnsi="Arial" w:cs="Arial"/>
              </w:rPr>
            </w:pPr>
          </w:p>
        </w:tc>
        <w:tc>
          <w:tcPr>
            <w:tcW w:w="3864" w:type="dxa"/>
            <w:vAlign w:val="center"/>
          </w:tcPr>
          <w:p w14:paraId="56EF616F" w14:textId="77777777" w:rsidR="00D06A62" w:rsidRPr="00D06A62" w:rsidRDefault="00D06A62" w:rsidP="00D06A62">
            <w:pPr>
              <w:keepLines/>
              <w:spacing w:before="100" w:beforeAutospacing="1" w:after="100" w:afterAutospacing="1"/>
              <w:contextualSpacing/>
              <w:rPr>
                <w:rFonts w:ascii="Arial" w:eastAsia="Times New Roman" w:hAnsi="Arial" w:cs="Arial"/>
                <w:bCs/>
              </w:rPr>
            </w:pPr>
            <w:r w:rsidRPr="00D06A62">
              <w:rPr>
                <w:rFonts w:ascii="Arial" w:eastAsia="Times New Roman" w:hAnsi="Arial" w:cs="Arial"/>
                <w:bCs/>
              </w:rPr>
              <w:t>Caregiver Protective Capacities</w:t>
            </w:r>
          </w:p>
        </w:tc>
        <w:tc>
          <w:tcPr>
            <w:tcW w:w="3180" w:type="dxa"/>
            <w:vAlign w:val="center"/>
          </w:tcPr>
          <w:p w14:paraId="3879D0D7" w14:textId="77777777" w:rsidR="00D06A62" w:rsidRPr="00D06A62" w:rsidDel="009C4B33" w:rsidRDefault="00D06A62" w:rsidP="00D06A62">
            <w:pPr>
              <w:keepLines/>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90%</w:t>
            </w:r>
          </w:p>
        </w:tc>
      </w:tr>
      <w:tr w:rsidR="00D06A62" w:rsidRPr="00D06A62" w14:paraId="2E976E28" w14:textId="77777777" w:rsidTr="002C60A0">
        <w:trPr>
          <w:cantSplit/>
          <w:jc w:val="center"/>
        </w:trPr>
        <w:tc>
          <w:tcPr>
            <w:tcW w:w="1515" w:type="dxa"/>
            <w:vMerge w:val="restart"/>
            <w:vAlign w:val="center"/>
          </w:tcPr>
          <w:p w14:paraId="225BA64D" w14:textId="77777777" w:rsidR="00D06A62" w:rsidRPr="00D06A62" w:rsidRDefault="00D06A62" w:rsidP="00D06A62">
            <w:pPr>
              <w:keepNext/>
              <w:spacing w:before="100" w:beforeAutospacing="1" w:after="100" w:afterAutospacing="1"/>
              <w:contextualSpacing/>
              <w:rPr>
                <w:rFonts w:ascii="Arial" w:eastAsia="Times New Roman" w:hAnsi="Arial" w:cs="Arial"/>
                <w:bCs/>
              </w:rPr>
            </w:pPr>
            <w:r w:rsidRPr="00D06A62">
              <w:rPr>
                <w:rFonts w:ascii="Arial" w:eastAsia="Times New Roman" w:hAnsi="Arial" w:cs="Arial"/>
                <w:bCs/>
              </w:rPr>
              <w:t xml:space="preserve">Central Receiving Systems </w:t>
            </w:r>
          </w:p>
        </w:tc>
        <w:tc>
          <w:tcPr>
            <w:tcW w:w="1403" w:type="dxa"/>
            <w:vMerge w:val="restart"/>
            <w:vAlign w:val="center"/>
          </w:tcPr>
          <w:p w14:paraId="3107A97F"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Guidance 27, Section E</w:t>
            </w:r>
          </w:p>
        </w:tc>
        <w:tc>
          <w:tcPr>
            <w:tcW w:w="3864" w:type="dxa"/>
            <w:vAlign w:val="center"/>
          </w:tcPr>
          <w:p w14:paraId="0DFE3898" w14:textId="77777777" w:rsidR="00D06A62" w:rsidRPr="00D06A62" w:rsidRDefault="00D06A62" w:rsidP="00D06A62">
            <w:pPr>
              <w:keepNext/>
              <w:pageBreakBefore/>
              <w:spacing w:before="100" w:beforeAutospacing="1" w:after="100" w:afterAutospacing="1"/>
              <w:contextualSpacing/>
              <w:rPr>
                <w:rFonts w:ascii="Arial" w:eastAsia="Times New Roman" w:hAnsi="Arial" w:cs="Arial"/>
              </w:rPr>
            </w:pPr>
            <w:r w:rsidRPr="00D06A62">
              <w:rPr>
                <w:rFonts w:ascii="Arial" w:eastAsia="Times New Roman" w:hAnsi="Arial" w:cs="Arial"/>
              </w:rPr>
              <w:t>Reduce law enforcement drop-off processing time</w:t>
            </w:r>
          </w:p>
        </w:tc>
        <w:tc>
          <w:tcPr>
            <w:tcW w:w="3180" w:type="dxa"/>
            <w:vAlign w:val="center"/>
          </w:tcPr>
          <w:p w14:paraId="6CCDCF52" w14:textId="77777777" w:rsidR="00D06A62" w:rsidRPr="00D06A62" w:rsidRDefault="00D06A62" w:rsidP="00D06A62">
            <w:pPr>
              <w:keepNext/>
              <w:pageBreakBefore/>
              <w:spacing w:before="100" w:beforeAutospacing="1" w:after="100" w:afterAutospacing="1"/>
              <w:contextualSpacing/>
              <w:jc w:val="center"/>
              <w:rPr>
                <w:rFonts w:ascii="Arial" w:eastAsia="Times New Roman" w:hAnsi="Arial" w:cs="Arial"/>
              </w:rPr>
            </w:pPr>
            <w:r w:rsidRPr="00D06A62">
              <w:rPr>
                <w:rFonts w:ascii="Arial" w:eastAsia="Times New Roman" w:hAnsi="Arial" w:cs="Arial"/>
              </w:rPr>
              <w:t>15 minutes or less</w:t>
            </w:r>
          </w:p>
        </w:tc>
      </w:tr>
      <w:tr w:rsidR="00D06A62" w:rsidRPr="00D06A62" w14:paraId="3D04C458" w14:textId="77777777" w:rsidTr="002C60A0">
        <w:trPr>
          <w:cantSplit/>
          <w:jc w:val="center"/>
        </w:trPr>
        <w:tc>
          <w:tcPr>
            <w:tcW w:w="1515" w:type="dxa"/>
            <w:vMerge/>
            <w:vAlign w:val="center"/>
          </w:tcPr>
          <w:p w14:paraId="0269C7A1"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2F1C2FD3"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67637E4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Increase participant access to community-based behavioral health services</w:t>
            </w:r>
          </w:p>
        </w:tc>
        <w:tc>
          <w:tcPr>
            <w:tcW w:w="3180" w:type="dxa"/>
            <w:vAlign w:val="center"/>
          </w:tcPr>
          <w:p w14:paraId="6EF16035"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Increase Access</w:t>
            </w:r>
          </w:p>
        </w:tc>
      </w:tr>
      <w:tr w:rsidR="00D06A62" w:rsidRPr="00D06A62" w14:paraId="55D1C158" w14:textId="77777777" w:rsidTr="002C60A0">
        <w:trPr>
          <w:cantSplit/>
          <w:jc w:val="center"/>
        </w:trPr>
        <w:tc>
          <w:tcPr>
            <w:tcW w:w="1515" w:type="dxa"/>
            <w:vMerge/>
            <w:vAlign w:val="center"/>
          </w:tcPr>
          <w:p w14:paraId="7AED3DCE" w14:textId="77777777" w:rsidR="00D06A62" w:rsidRPr="00D06A62" w:rsidRDefault="00D06A62" w:rsidP="00D06A62">
            <w:pPr>
              <w:spacing w:before="100" w:beforeAutospacing="1" w:after="100" w:afterAutospacing="1"/>
              <w:contextualSpacing/>
              <w:rPr>
                <w:rFonts w:ascii="Arial" w:eastAsia="Times New Roman" w:hAnsi="Arial" w:cs="Arial"/>
                <w:bCs/>
              </w:rPr>
            </w:pPr>
          </w:p>
        </w:tc>
        <w:tc>
          <w:tcPr>
            <w:tcW w:w="1403" w:type="dxa"/>
            <w:vMerge/>
            <w:vAlign w:val="center"/>
          </w:tcPr>
          <w:p w14:paraId="7A68FFDE" w14:textId="77777777" w:rsidR="00D06A62" w:rsidRPr="00D06A62" w:rsidRDefault="00D06A62" w:rsidP="00D06A62">
            <w:pPr>
              <w:spacing w:before="100" w:beforeAutospacing="1" w:after="100" w:afterAutospacing="1"/>
              <w:contextualSpacing/>
              <w:rPr>
                <w:rFonts w:ascii="Arial" w:eastAsia="Times New Roman" w:hAnsi="Arial" w:cs="Arial"/>
              </w:rPr>
            </w:pPr>
          </w:p>
        </w:tc>
        <w:tc>
          <w:tcPr>
            <w:tcW w:w="3864" w:type="dxa"/>
            <w:vAlign w:val="center"/>
          </w:tcPr>
          <w:p w14:paraId="292CE78E" w14:textId="77777777" w:rsidR="00D06A62" w:rsidRPr="00D06A62" w:rsidRDefault="00D06A62" w:rsidP="00D06A62">
            <w:pPr>
              <w:spacing w:before="100" w:beforeAutospacing="1" w:after="100" w:afterAutospacing="1"/>
              <w:contextualSpacing/>
              <w:rPr>
                <w:rFonts w:ascii="Arial" w:eastAsia="Times New Roman" w:hAnsi="Arial" w:cs="Arial"/>
                <w:bCs/>
              </w:rPr>
            </w:pPr>
            <w:r w:rsidRPr="00D06A62">
              <w:rPr>
                <w:rFonts w:ascii="Arial" w:eastAsia="Times New Roman" w:hAnsi="Arial" w:cs="Arial"/>
                <w:bCs/>
              </w:rPr>
              <w:t>Reduce number of individuals admitted to SMHTF</w:t>
            </w:r>
          </w:p>
        </w:tc>
        <w:tc>
          <w:tcPr>
            <w:tcW w:w="3180" w:type="dxa"/>
            <w:vAlign w:val="center"/>
          </w:tcPr>
          <w:p w14:paraId="3ABBE876" w14:textId="77777777" w:rsidR="00D06A62" w:rsidRPr="00D06A62" w:rsidRDefault="00D06A62" w:rsidP="00D06A62">
            <w:pPr>
              <w:spacing w:before="100" w:beforeAutospacing="1" w:after="100" w:afterAutospacing="1"/>
              <w:contextualSpacing/>
              <w:jc w:val="center"/>
              <w:rPr>
                <w:rFonts w:ascii="Arial" w:eastAsia="Times New Roman" w:hAnsi="Arial" w:cs="Arial"/>
                <w:bCs/>
              </w:rPr>
            </w:pPr>
            <w:r w:rsidRPr="00D06A62">
              <w:rPr>
                <w:rFonts w:ascii="Arial" w:eastAsia="Times New Roman" w:hAnsi="Arial" w:cs="Arial"/>
                <w:bCs/>
              </w:rPr>
              <w:t>Reduce Admissions</w:t>
            </w:r>
          </w:p>
        </w:tc>
      </w:tr>
      <w:tr w:rsidR="00D06A62" w:rsidRPr="00D06A62" w14:paraId="3C0184C0" w14:textId="77777777" w:rsidTr="002C60A0">
        <w:trPr>
          <w:cantSplit/>
          <w:jc w:val="center"/>
        </w:trPr>
        <w:tc>
          <w:tcPr>
            <w:tcW w:w="1515" w:type="dxa"/>
            <w:vMerge w:val="restart"/>
            <w:vAlign w:val="center"/>
          </w:tcPr>
          <w:p w14:paraId="6AF33BEF"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Community Action Treatment (CAT) Team</w:t>
            </w:r>
          </w:p>
        </w:tc>
        <w:tc>
          <w:tcPr>
            <w:tcW w:w="1403" w:type="dxa"/>
            <w:vMerge w:val="restart"/>
            <w:vAlign w:val="center"/>
          </w:tcPr>
          <w:p w14:paraId="104F406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Guidance 32, Section 2 </w:t>
            </w:r>
          </w:p>
        </w:tc>
        <w:tc>
          <w:tcPr>
            <w:tcW w:w="3864" w:type="dxa"/>
            <w:vAlign w:val="center"/>
          </w:tcPr>
          <w:p w14:paraId="4B667D91" w14:textId="77777777" w:rsidR="00D06A62" w:rsidRPr="00D06A62" w:rsidRDefault="00D06A62" w:rsidP="00D06A62">
            <w:pPr>
              <w:spacing w:before="100" w:beforeAutospacing="1" w:after="100" w:afterAutospacing="1"/>
              <w:rPr>
                <w:rFonts w:ascii="Arial" w:eastAsia="Times New Roman" w:hAnsi="Arial" w:cs="Arial"/>
                <w:bCs/>
              </w:rPr>
            </w:pPr>
            <w:r w:rsidRPr="00D06A62">
              <w:rPr>
                <w:rFonts w:ascii="Arial" w:eastAsia="Times New Roman" w:hAnsi="Arial" w:cs="Arial"/>
                <w:bCs/>
              </w:rPr>
              <w:t>School Attendance</w:t>
            </w:r>
          </w:p>
        </w:tc>
        <w:tc>
          <w:tcPr>
            <w:tcW w:w="3180" w:type="dxa"/>
            <w:vAlign w:val="center"/>
          </w:tcPr>
          <w:p w14:paraId="35EC0ED3" w14:textId="77777777" w:rsidR="00D06A62" w:rsidRPr="00D06A62" w:rsidRDefault="00D06A62" w:rsidP="00D06A62">
            <w:pPr>
              <w:spacing w:before="100" w:beforeAutospacing="1" w:after="100" w:afterAutospacing="1"/>
              <w:jc w:val="center"/>
              <w:rPr>
                <w:rFonts w:ascii="Arial" w:eastAsia="Times New Roman" w:hAnsi="Arial" w:cs="Arial"/>
                <w:bCs/>
              </w:rPr>
            </w:pPr>
            <w:r w:rsidRPr="00D06A62">
              <w:rPr>
                <w:rFonts w:ascii="Arial" w:eastAsia="Times New Roman" w:hAnsi="Arial" w:cs="Arial"/>
                <w:bCs/>
              </w:rPr>
              <w:t>80%</w:t>
            </w:r>
          </w:p>
        </w:tc>
      </w:tr>
      <w:tr w:rsidR="00D06A62" w:rsidRPr="00D06A62" w14:paraId="23276DD1" w14:textId="77777777" w:rsidTr="002C60A0">
        <w:trPr>
          <w:cantSplit/>
          <w:jc w:val="center"/>
        </w:trPr>
        <w:tc>
          <w:tcPr>
            <w:tcW w:w="1515" w:type="dxa"/>
            <w:vMerge/>
            <w:vAlign w:val="center"/>
          </w:tcPr>
          <w:p w14:paraId="214E9A4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F80AE04"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6A0B9B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Level of Functioning based upon CFARS or FARS</w:t>
            </w:r>
          </w:p>
        </w:tc>
        <w:tc>
          <w:tcPr>
            <w:tcW w:w="3180" w:type="dxa"/>
            <w:vAlign w:val="center"/>
          </w:tcPr>
          <w:p w14:paraId="3F00F79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384523B8" w14:textId="77777777" w:rsidTr="002C60A0">
        <w:trPr>
          <w:cantSplit/>
          <w:jc w:val="center"/>
        </w:trPr>
        <w:tc>
          <w:tcPr>
            <w:tcW w:w="1515" w:type="dxa"/>
            <w:vMerge/>
            <w:vAlign w:val="center"/>
          </w:tcPr>
          <w:p w14:paraId="3AACBE7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13EFB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7E0F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3DC7E26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509BB072" w14:textId="77777777" w:rsidTr="002C60A0">
        <w:trPr>
          <w:cantSplit/>
          <w:jc w:val="center"/>
        </w:trPr>
        <w:tc>
          <w:tcPr>
            <w:tcW w:w="1515" w:type="dxa"/>
            <w:vMerge/>
            <w:vAlign w:val="center"/>
          </w:tcPr>
          <w:p w14:paraId="4F781A51" w14:textId="77777777" w:rsidR="00D06A62" w:rsidRPr="00D06A62" w:rsidRDefault="00D06A62" w:rsidP="00D06A62">
            <w:pPr>
              <w:spacing w:before="100" w:beforeAutospacing="1" w:after="100" w:afterAutospacing="1"/>
              <w:rPr>
                <w:rFonts w:ascii="Arial" w:eastAsia="Times New Roman" w:hAnsi="Arial" w:cs="Arial"/>
                <w:i/>
              </w:rPr>
            </w:pPr>
          </w:p>
        </w:tc>
        <w:tc>
          <w:tcPr>
            <w:tcW w:w="1403" w:type="dxa"/>
            <w:vMerge/>
            <w:vAlign w:val="center"/>
          </w:tcPr>
          <w:p w14:paraId="4D96726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FB00FF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40607CA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70%</w:t>
            </w:r>
          </w:p>
        </w:tc>
      </w:tr>
      <w:tr w:rsidR="00D06A62" w:rsidRPr="00D06A62" w14:paraId="116CB193" w14:textId="77777777" w:rsidTr="002C60A0">
        <w:trPr>
          <w:cantSplit/>
          <w:trHeight w:val="235"/>
          <w:jc w:val="center"/>
        </w:trPr>
        <w:tc>
          <w:tcPr>
            <w:tcW w:w="1515" w:type="dxa"/>
            <w:vMerge w:val="restart"/>
            <w:vAlign w:val="center"/>
          </w:tcPr>
          <w:p w14:paraId="7FCCD6B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Mobile Response Team (MRT)</w:t>
            </w:r>
          </w:p>
        </w:tc>
        <w:tc>
          <w:tcPr>
            <w:tcW w:w="1403" w:type="dxa"/>
            <w:vMerge w:val="restart"/>
            <w:vAlign w:val="center"/>
          </w:tcPr>
          <w:p w14:paraId="7055E10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34, Section G</w:t>
            </w:r>
          </w:p>
        </w:tc>
        <w:tc>
          <w:tcPr>
            <w:tcW w:w="3864" w:type="dxa"/>
            <w:vAlign w:val="center"/>
          </w:tcPr>
          <w:p w14:paraId="29A6AC6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60-minute response time</w:t>
            </w:r>
          </w:p>
        </w:tc>
        <w:tc>
          <w:tcPr>
            <w:tcW w:w="3180" w:type="dxa"/>
            <w:vAlign w:val="center"/>
          </w:tcPr>
          <w:p w14:paraId="7A2FA8D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85%</w:t>
            </w:r>
          </w:p>
        </w:tc>
      </w:tr>
      <w:tr w:rsidR="00D06A62" w:rsidRPr="00D06A62" w14:paraId="4BB6501C" w14:textId="77777777" w:rsidTr="002C60A0">
        <w:trPr>
          <w:cantSplit/>
          <w:trHeight w:val="235"/>
          <w:jc w:val="center"/>
        </w:trPr>
        <w:tc>
          <w:tcPr>
            <w:tcW w:w="1515" w:type="dxa"/>
            <w:vMerge/>
            <w:vAlign w:val="center"/>
          </w:tcPr>
          <w:p w14:paraId="11E4FEE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91323E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0E5636A8"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Seven (7) formal outreach activities annually</w:t>
            </w:r>
            <w:r w:rsidRPr="00D06A62" w:rsidDel="00DF77DD">
              <w:rPr>
                <w:rFonts w:ascii="Arial" w:eastAsia="Times New Roman" w:hAnsi="Arial" w:cs="Arial"/>
              </w:rPr>
              <w:t xml:space="preserve"> </w:t>
            </w:r>
          </w:p>
        </w:tc>
        <w:tc>
          <w:tcPr>
            <w:tcW w:w="3180" w:type="dxa"/>
            <w:vAlign w:val="center"/>
          </w:tcPr>
          <w:p w14:paraId="1C7B92A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7103EC7D" w14:textId="77777777" w:rsidTr="002C60A0">
        <w:trPr>
          <w:cantSplit/>
          <w:trHeight w:val="235"/>
          <w:jc w:val="center"/>
        </w:trPr>
        <w:tc>
          <w:tcPr>
            <w:tcW w:w="1515" w:type="dxa"/>
            <w:vMerge/>
            <w:vAlign w:val="center"/>
          </w:tcPr>
          <w:p w14:paraId="2C2C1F89" w14:textId="77777777" w:rsidR="00D06A62" w:rsidRPr="00D06A62" w:rsidRDefault="00D06A62" w:rsidP="00D06A62">
            <w:pPr>
              <w:spacing w:after="120"/>
              <w:rPr>
                <w:rFonts w:ascii="Arial" w:eastAsia="Times New Roman" w:hAnsi="Arial" w:cs="Arial"/>
              </w:rPr>
            </w:pPr>
          </w:p>
        </w:tc>
        <w:tc>
          <w:tcPr>
            <w:tcW w:w="1403" w:type="dxa"/>
            <w:vMerge/>
            <w:vAlign w:val="center"/>
          </w:tcPr>
          <w:p w14:paraId="33C28AAF" w14:textId="77777777" w:rsidR="00D06A62" w:rsidRPr="00D06A62" w:rsidRDefault="00D06A62" w:rsidP="00D06A62">
            <w:pPr>
              <w:spacing w:after="120"/>
              <w:rPr>
                <w:rFonts w:ascii="Arial" w:eastAsia="Times New Roman" w:hAnsi="Arial" w:cs="Arial"/>
              </w:rPr>
            </w:pPr>
          </w:p>
        </w:tc>
        <w:tc>
          <w:tcPr>
            <w:tcW w:w="3864" w:type="dxa"/>
            <w:vAlign w:val="center"/>
          </w:tcPr>
          <w:p w14:paraId="494F331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Minimum number served</w:t>
            </w:r>
          </w:p>
        </w:tc>
        <w:tc>
          <w:tcPr>
            <w:tcW w:w="3180" w:type="dxa"/>
            <w:vAlign w:val="center"/>
          </w:tcPr>
          <w:p w14:paraId="7E67D92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Established by Network Service Provider</w:t>
            </w:r>
          </w:p>
        </w:tc>
      </w:tr>
      <w:tr w:rsidR="00D06A62" w:rsidRPr="00D06A62" w14:paraId="7793536C" w14:textId="77777777" w:rsidTr="002C60A0">
        <w:trPr>
          <w:cantSplit/>
          <w:trHeight w:val="300"/>
          <w:jc w:val="center"/>
        </w:trPr>
        <w:tc>
          <w:tcPr>
            <w:tcW w:w="1515" w:type="dxa"/>
            <w:vMerge w:val="restart"/>
            <w:vAlign w:val="center"/>
          </w:tcPr>
          <w:p w14:paraId="3E94608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Linking, Advocating, Treating, Transitioning, Empowering </w:t>
            </w:r>
            <w:r w:rsidRPr="00D06A62">
              <w:rPr>
                <w:rFonts w:ascii="Arial" w:eastAsia="Times New Roman" w:hAnsi="Arial" w:cs="Arial"/>
              </w:rPr>
              <w:lastRenderedPageBreak/>
              <w:t>and Recovery Support (LATTERS)</w:t>
            </w:r>
          </w:p>
        </w:tc>
        <w:tc>
          <w:tcPr>
            <w:tcW w:w="1403" w:type="dxa"/>
            <w:vMerge w:val="restart"/>
            <w:vAlign w:val="center"/>
          </w:tcPr>
          <w:p w14:paraId="5D483B9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lastRenderedPageBreak/>
              <w:t>Guidance 36, Section IV.</w:t>
            </w:r>
          </w:p>
        </w:tc>
        <w:tc>
          <w:tcPr>
            <w:tcW w:w="3864" w:type="dxa"/>
            <w:vAlign w:val="center"/>
          </w:tcPr>
          <w:p w14:paraId="3723D9B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7563251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 or most current guidance</w:t>
            </w:r>
          </w:p>
        </w:tc>
      </w:tr>
      <w:tr w:rsidR="00D06A62" w:rsidRPr="00D06A62" w14:paraId="295827FD" w14:textId="77777777" w:rsidTr="002C60A0">
        <w:trPr>
          <w:cantSplit/>
          <w:trHeight w:val="295"/>
          <w:jc w:val="center"/>
        </w:trPr>
        <w:tc>
          <w:tcPr>
            <w:tcW w:w="1515" w:type="dxa"/>
            <w:vMerge/>
            <w:vAlign w:val="center"/>
          </w:tcPr>
          <w:p w14:paraId="69F4558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D8259FC"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CC303F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Days worked</w:t>
            </w:r>
          </w:p>
        </w:tc>
        <w:tc>
          <w:tcPr>
            <w:tcW w:w="3180" w:type="dxa"/>
            <w:vAlign w:val="center"/>
          </w:tcPr>
          <w:p w14:paraId="107D134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40 days or most current guidance</w:t>
            </w:r>
          </w:p>
        </w:tc>
      </w:tr>
      <w:tr w:rsidR="00D06A62" w:rsidRPr="00D06A62" w14:paraId="2B049C5D" w14:textId="77777777" w:rsidTr="002C60A0">
        <w:trPr>
          <w:cantSplit/>
          <w:trHeight w:val="295"/>
          <w:jc w:val="center"/>
        </w:trPr>
        <w:tc>
          <w:tcPr>
            <w:tcW w:w="1515" w:type="dxa"/>
            <w:vMerge/>
            <w:vAlign w:val="center"/>
          </w:tcPr>
          <w:p w14:paraId="3602CF0E"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4CE242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34CC9E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Reduce crisis</w:t>
            </w:r>
          </w:p>
        </w:tc>
        <w:tc>
          <w:tcPr>
            <w:tcW w:w="3180" w:type="dxa"/>
            <w:vAlign w:val="center"/>
          </w:tcPr>
          <w:p w14:paraId="03E95F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15% or fewer admissions</w:t>
            </w:r>
          </w:p>
        </w:tc>
      </w:tr>
      <w:tr w:rsidR="00D06A62" w:rsidRPr="00D06A62" w14:paraId="79EFBEFA" w14:textId="77777777" w:rsidTr="002C60A0">
        <w:trPr>
          <w:cantSplit/>
          <w:trHeight w:val="295"/>
          <w:jc w:val="center"/>
        </w:trPr>
        <w:tc>
          <w:tcPr>
            <w:tcW w:w="1515" w:type="dxa"/>
            <w:vMerge/>
            <w:vAlign w:val="center"/>
          </w:tcPr>
          <w:p w14:paraId="6AEF6F54"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E8ED7A8"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8F448D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Improved level of functioning </w:t>
            </w:r>
          </w:p>
        </w:tc>
        <w:tc>
          <w:tcPr>
            <w:tcW w:w="3180" w:type="dxa"/>
            <w:vAlign w:val="center"/>
          </w:tcPr>
          <w:p w14:paraId="5E9AF68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376C5FE8" w14:textId="77777777" w:rsidTr="002C60A0">
        <w:trPr>
          <w:cantSplit/>
          <w:trHeight w:val="295"/>
          <w:jc w:val="center"/>
        </w:trPr>
        <w:tc>
          <w:tcPr>
            <w:tcW w:w="1515" w:type="dxa"/>
            <w:vMerge/>
            <w:vAlign w:val="center"/>
          </w:tcPr>
          <w:p w14:paraId="7D7E704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6A676E9"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B2CB31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 upon successful completion</w:t>
            </w:r>
          </w:p>
        </w:tc>
        <w:tc>
          <w:tcPr>
            <w:tcW w:w="3180" w:type="dxa"/>
            <w:vAlign w:val="center"/>
          </w:tcPr>
          <w:p w14:paraId="2CE06416"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5FD67D4F" w14:textId="77777777" w:rsidTr="002C60A0">
        <w:trPr>
          <w:cantSplit/>
          <w:trHeight w:val="295"/>
          <w:jc w:val="center"/>
        </w:trPr>
        <w:tc>
          <w:tcPr>
            <w:tcW w:w="1515" w:type="dxa"/>
            <w:vMerge/>
            <w:vAlign w:val="center"/>
          </w:tcPr>
          <w:p w14:paraId="53A81ECC"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3B257F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E49E9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quality of life upon successful completion</w:t>
            </w:r>
          </w:p>
        </w:tc>
        <w:tc>
          <w:tcPr>
            <w:tcW w:w="3180" w:type="dxa"/>
            <w:vAlign w:val="center"/>
          </w:tcPr>
          <w:p w14:paraId="2CA56312"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048642" w14:textId="77777777" w:rsidTr="002C60A0">
        <w:trPr>
          <w:cantSplit/>
          <w:trHeight w:val="295"/>
          <w:jc w:val="center"/>
        </w:trPr>
        <w:tc>
          <w:tcPr>
            <w:tcW w:w="1515" w:type="dxa"/>
            <w:vMerge/>
            <w:vAlign w:val="center"/>
          </w:tcPr>
          <w:p w14:paraId="42921C63"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A57CFE3"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5CF3413"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Sustain improvements after successful completion</w:t>
            </w:r>
          </w:p>
        </w:tc>
        <w:tc>
          <w:tcPr>
            <w:tcW w:w="3180" w:type="dxa"/>
            <w:vAlign w:val="center"/>
          </w:tcPr>
          <w:p w14:paraId="490D7313"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10% or fewer admissions</w:t>
            </w:r>
          </w:p>
        </w:tc>
      </w:tr>
      <w:tr w:rsidR="00D06A62" w:rsidRPr="00D06A62" w14:paraId="36C1D76E" w14:textId="77777777" w:rsidTr="002C60A0">
        <w:trPr>
          <w:cantSplit/>
          <w:trHeight w:val="291"/>
          <w:jc w:val="center"/>
        </w:trPr>
        <w:tc>
          <w:tcPr>
            <w:tcW w:w="1515" w:type="dxa"/>
            <w:vMerge w:val="restart"/>
            <w:vAlign w:val="center"/>
          </w:tcPr>
          <w:p w14:paraId="5C9F4A1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Family First Prevention Services Act (FFPSA) Teams</w:t>
            </w:r>
          </w:p>
        </w:tc>
        <w:tc>
          <w:tcPr>
            <w:tcW w:w="1403" w:type="dxa"/>
            <w:vMerge w:val="restart"/>
            <w:vAlign w:val="center"/>
          </w:tcPr>
          <w:p w14:paraId="65EA7CCB"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37, Section IV</w:t>
            </w:r>
          </w:p>
        </w:tc>
        <w:tc>
          <w:tcPr>
            <w:tcW w:w="3864" w:type="dxa"/>
            <w:vAlign w:val="center"/>
          </w:tcPr>
          <w:p w14:paraId="6FC25E2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or satisfactory progress</w:t>
            </w:r>
          </w:p>
        </w:tc>
        <w:tc>
          <w:tcPr>
            <w:tcW w:w="3180" w:type="dxa"/>
            <w:vAlign w:val="center"/>
          </w:tcPr>
          <w:p w14:paraId="0EA3A371"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2024299B" w14:textId="77777777" w:rsidTr="002C60A0">
        <w:trPr>
          <w:cantSplit/>
          <w:trHeight w:val="288"/>
          <w:jc w:val="center"/>
        </w:trPr>
        <w:tc>
          <w:tcPr>
            <w:tcW w:w="1515" w:type="dxa"/>
            <w:vMerge/>
            <w:vAlign w:val="center"/>
          </w:tcPr>
          <w:p w14:paraId="45726556"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0A66DEE"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BD42D9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caregiver protective capacity</w:t>
            </w:r>
          </w:p>
        </w:tc>
        <w:tc>
          <w:tcPr>
            <w:tcW w:w="3180" w:type="dxa"/>
            <w:vAlign w:val="center"/>
          </w:tcPr>
          <w:p w14:paraId="35E4A895"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332AEC09" w14:textId="77777777" w:rsidTr="002C60A0">
        <w:trPr>
          <w:cantSplit/>
          <w:trHeight w:val="288"/>
          <w:jc w:val="center"/>
        </w:trPr>
        <w:tc>
          <w:tcPr>
            <w:tcW w:w="1515" w:type="dxa"/>
            <w:vMerge/>
            <w:vAlign w:val="center"/>
          </w:tcPr>
          <w:p w14:paraId="265CF21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56C0C4A2"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4457F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24F05649"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79E53748" w14:textId="77777777" w:rsidTr="002C60A0">
        <w:trPr>
          <w:cantSplit/>
          <w:trHeight w:val="288"/>
          <w:jc w:val="center"/>
        </w:trPr>
        <w:tc>
          <w:tcPr>
            <w:tcW w:w="1515" w:type="dxa"/>
            <w:vMerge/>
            <w:vAlign w:val="center"/>
          </w:tcPr>
          <w:p w14:paraId="10ADF3FB"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7C75AE6F"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49B1D8C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School attendance </w:t>
            </w:r>
          </w:p>
        </w:tc>
        <w:tc>
          <w:tcPr>
            <w:tcW w:w="3180" w:type="dxa"/>
            <w:vAlign w:val="center"/>
          </w:tcPr>
          <w:p w14:paraId="46D5247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047D70C4" w14:textId="77777777" w:rsidTr="002C60A0">
        <w:trPr>
          <w:cantSplit/>
          <w:trHeight w:val="177"/>
          <w:jc w:val="center"/>
        </w:trPr>
        <w:tc>
          <w:tcPr>
            <w:tcW w:w="1515" w:type="dxa"/>
            <w:vMerge w:val="restart"/>
            <w:vAlign w:val="center"/>
          </w:tcPr>
          <w:p w14:paraId="6986B2A0"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 xml:space="preserve">CAT Team for Ages 0-10 </w:t>
            </w:r>
          </w:p>
        </w:tc>
        <w:tc>
          <w:tcPr>
            <w:tcW w:w="1403" w:type="dxa"/>
            <w:vMerge w:val="restart"/>
            <w:vAlign w:val="center"/>
          </w:tcPr>
          <w:p w14:paraId="6F7F8C7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38, Section M</w:t>
            </w:r>
          </w:p>
        </w:tc>
        <w:tc>
          <w:tcPr>
            <w:tcW w:w="3864" w:type="dxa"/>
            <w:vAlign w:val="center"/>
          </w:tcPr>
          <w:p w14:paraId="0B3DE551"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preschool, daycare attendance</w:t>
            </w:r>
          </w:p>
        </w:tc>
        <w:tc>
          <w:tcPr>
            <w:tcW w:w="3180" w:type="dxa"/>
            <w:vAlign w:val="center"/>
          </w:tcPr>
          <w:p w14:paraId="60930D98"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9C6898B" w14:textId="77777777" w:rsidTr="002C60A0">
        <w:trPr>
          <w:cantSplit/>
          <w:trHeight w:val="176"/>
          <w:jc w:val="center"/>
        </w:trPr>
        <w:tc>
          <w:tcPr>
            <w:tcW w:w="1515" w:type="dxa"/>
            <w:vMerge/>
            <w:vAlign w:val="center"/>
          </w:tcPr>
          <w:p w14:paraId="5B5BBBEF"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6945AA8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0ABA355"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Functional improvement</w:t>
            </w:r>
          </w:p>
        </w:tc>
        <w:tc>
          <w:tcPr>
            <w:tcW w:w="3180" w:type="dxa"/>
            <w:vAlign w:val="center"/>
          </w:tcPr>
          <w:p w14:paraId="43A5C6C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80%</w:t>
            </w:r>
          </w:p>
        </w:tc>
      </w:tr>
      <w:tr w:rsidR="00D06A62" w:rsidRPr="00D06A62" w14:paraId="4837D0ED" w14:textId="77777777" w:rsidTr="002C60A0">
        <w:trPr>
          <w:cantSplit/>
          <w:trHeight w:val="176"/>
          <w:jc w:val="center"/>
        </w:trPr>
        <w:tc>
          <w:tcPr>
            <w:tcW w:w="1515" w:type="dxa"/>
            <w:vMerge/>
            <w:vAlign w:val="center"/>
          </w:tcPr>
          <w:p w14:paraId="60977282"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2D10DD57"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7B080C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Living in a community setting</w:t>
            </w:r>
          </w:p>
        </w:tc>
        <w:tc>
          <w:tcPr>
            <w:tcW w:w="3180" w:type="dxa"/>
            <w:vAlign w:val="center"/>
          </w:tcPr>
          <w:p w14:paraId="7ED83A0C"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245406B7" w14:textId="77777777" w:rsidTr="002C60A0">
        <w:trPr>
          <w:cantSplit/>
          <w:trHeight w:val="176"/>
          <w:jc w:val="center"/>
        </w:trPr>
        <w:tc>
          <w:tcPr>
            <w:tcW w:w="1515" w:type="dxa"/>
            <w:vMerge/>
            <w:vAlign w:val="center"/>
          </w:tcPr>
          <w:p w14:paraId="2056E399"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06633B5"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2BDA7967"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Improved family functioning, based on child well-being domain, NCFAS-G+R</w:t>
            </w:r>
          </w:p>
        </w:tc>
        <w:tc>
          <w:tcPr>
            <w:tcW w:w="3180" w:type="dxa"/>
            <w:vAlign w:val="center"/>
          </w:tcPr>
          <w:p w14:paraId="7770254E"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65%</w:t>
            </w:r>
          </w:p>
        </w:tc>
      </w:tr>
      <w:tr w:rsidR="00D06A62" w:rsidRPr="00D06A62" w14:paraId="654E807F" w14:textId="77777777" w:rsidTr="002C60A0">
        <w:trPr>
          <w:cantSplit/>
          <w:trHeight w:val="345"/>
          <w:jc w:val="center"/>
        </w:trPr>
        <w:tc>
          <w:tcPr>
            <w:tcW w:w="1515" w:type="dxa"/>
            <w:vMerge w:val="restart"/>
            <w:vAlign w:val="center"/>
          </w:tcPr>
          <w:p w14:paraId="46926B2E"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Multi-disciplinary Child Welfare Teams; Family Intensive Treatment</w:t>
            </w:r>
          </w:p>
        </w:tc>
        <w:tc>
          <w:tcPr>
            <w:tcW w:w="1403" w:type="dxa"/>
            <w:vMerge w:val="restart"/>
            <w:vAlign w:val="center"/>
          </w:tcPr>
          <w:p w14:paraId="7A268F3C"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Guidance 39, Section IV</w:t>
            </w:r>
          </w:p>
        </w:tc>
        <w:tc>
          <w:tcPr>
            <w:tcW w:w="3864" w:type="dxa"/>
            <w:vAlign w:val="center"/>
          </w:tcPr>
          <w:p w14:paraId="3451F499"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Successful completion of satisfactory progress</w:t>
            </w:r>
          </w:p>
        </w:tc>
        <w:tc>
          <w:tcPr>
            <w:tcW w:w="3180" w:type="dxa"/>
            <w:vAlign w:val="center"/>
          </w:tcPr>
          <w:p w14:paraId="4721588A"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75%</w:t>
            </w:r>
          </w:p>
        </w:tc>
      </w:tr>
      <w:tr w:rsidR="00D06A62" w:rsidRPr="00D06A62" w14:paraId="7C0D1EDE" w14:textId="77777777" w:rsidTr="002C60A0">
        <w:trPr>
          <w:cantSplit/>
          <w:trHeight w:val="345"/>
          <w:jc w:val="center"/>
        </w:trPr>
        <w:tc>
          <w:tcPr>
            <w:tcW w:w="1515" w:type="dxa"/>
            <w:vMerge/>
            <w:vAlign w:val="center"/>
          </w:tcPr>
          <w:p w14:paraId="0FA4643A"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30A5C19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620174E2"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Improvement in Caregiver protective capacity</w:t>
            </w:r>
          </w:p>
        </w:tc>
        <w:tc>
          <w:tcPr>
            <w:tcW w:w="3180" w:type="dxa"/>
            <w:vAlign w:val="center"/>
          </w:tcPr>
          <w:p w14:paraId="6CEDDB9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90%</w:t>
            </w:r>
          </w:p>
        </w:tc>
      </w:tr>
      <w:tr w:rsidR="00D06A62" w:rsidRPr="00D06A62" w14:paraId="047BB996" w14:textId="77777777" w:rsidTr="002C60A0">
        <w:trPr>
          <w:cantSplit/>
          <w:trHeight w:val="345"/>
          <w:jc w:val="center"/>
        </w:trPr>
        <w:tc>
          <w:tcPr>
            <w:tcW w:w="1515" w:type="dxa"/>
            <w:vMerge/>
            <w:vAlign w:val="center"/>
          </w:tcPr>
          <w:p w14:paraId="1E6618B8"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4DCF1E3D"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1DC7EA5F"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Stable housing</w:t>
            </w:r>
          </w:p>
        </w:tc>
        <w:tc>
          <w:tcPr>
            <w:tcW w:w="3180" w:type="dxa"/>
            <w:vAlign w:val="center"/>
          </w:tcPr>
          <w:p w14:paraId="1976FAAF"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r w:rsidR="00D06A62" w:rsidRPr="00D06A62" w14:paraId="66E64BDE" w14:textId="77777777" w:rsidTr="002C60A0">
        <w:trPr>
          <w:cantSplit/>
          <w:trHeight w:val="345"/>
          <w:jc w:val="center"/>
        </w:trPr>
        <w:tc>
          <w:tcPr>
            <w:tcW w:w="1515" w:type="dxa"/>
            <w:vMerge/>
            <w:vAlign w:val="center"/>
          </w:tcPr>
          <w:p w14:paraId="198B50D7" w14:textId="77777777" w:rsidR="00D06A62" w:rsidRPr="00D06A62" w:rsidRDefault="00D06A62" w:rsidP="00D06A62">
            <w:pPr>
              <w:spacing w:before="100" w:beforeAutospacing="1" w:after="100" w:afterAutospacing="1"/>
              <w:rPr>
                <w:rFonts w:ascii="Arial" w:eastAsia="Times New Roman" w:hAnsi="Arial" w:cs="Arial"/>
              </w:rPr>
            </w:pPr>
          </w:p>
        </w:tc>
        <w:tc>
          <w:tcPr>
            <w:tcW w:w="1403" w:type="dxa"/>
            <w:vMerge/>
            <w:vAlign w:val="center"/>
          </w:tcPr>
          <w:p w14:paraId="10A8F511" w14:textId="77777777" w:rsidR="00D06A62" w:rsidRPr="00D06A62" w:rsidRDefault="00D06A62" w:rsidP="00D06A62">
            <w:pPr>
              <w:spacing w:before="100" w:beforeAutospacing="1" w:after="100" w:afterAutospacing="1"/>
              <w:rPr>
                <w:rFonts w:ascii="Arial" w:eastAsia="Times New Roman" w:hAnsi="Arial" w:cs="Arial"/>
              </w:rPr>
            </w:pPr>
          </w:p>
        </w:tc>
        <w:tc>
          <w:tcPr>
            <w:tcW w:w="3864" w:type="dxa"/>
            <w:vAlign w:val="center"/>
          </w:tcPr>
          <w:p w14:paraId="3CCE400D" w14:textId="77777777" w:rsidR="00D06A62" w:rsidRPr="00D06A62" w:rsidRDefault="00D06A62" w:rsidP="00D06A62">
            <w:pPr>
              <w:spacing w:before="100" w:beforeAutospacing="1" w:after="100" w:afterAutospacing="1"/>
              <w:rPr>
                <w:rFonts w:ascii="Arial" w:eastAsia="Times New Roman" w:hAnsi="Arial" w:cs="Arial"/>
              </w:rPr>
            </w:pPr>
            <w:r w:rsidRPr="00D06A62">
              <w:rPr>
                <w:rFonts w:ascii="Arial" w:eastAsia="Times New Roman" w:hAnsi="Arial" w:cs="Arial"/>
              </w:rPr>
              <w:t>School attendance or gainful employment</w:t>
            </w:r>
          </w:p>
        </w:tc>
        <w:tc>
          <w:tcPr>
            <w:tcW w:w="3180" w:type="dxa"/>
            <w:vAlign w:val="center"/>
          </w:tcPr>
          <w:p w14:paraId="4F7C1960" w14:textId="77777777" w:rsidR="00D06A62" w:rsidRPr="00D06A62" w:rsidRDefault="00D06A62" w:rsidP="00D06A62">
            <w:pPr>
              <w:spacing w:before="100" w:beforeAutospacing="1" w:after="100" w:afterAutospacing="1"/>
              <w:jc w:val="center"/>
              <w:rPr>
                <w:rFonts w:ascii="Arial" w:eastAsia="Times New Roman" w:hAnsi="Arial" w:cs="Arial"/>
              </w:rPr>
            </w:pPr>
            <w:r w:rsidRPr="00D06A62">
              <w:rPr>
                <w:rFonts w:ascii="Arial" w:eastAsia="Times New Roman" w:hAnsi="Arial" w:cs="Arial"/>
              </w:rPr>
              <w:t>95%</w:t>
            </w:r>
          </w:p>
        </w:tc>
      </w:tr>
    </w:tbl>
    <w:p w14:paraId="2BF9753E" w14:textId="77777777" w:rsidR="00D06A62" w:rsidRPr="00D06A62" w:rsidRDefault="00D06A62" w:rsidP="00D06A62">
      <w:pPr>
        <w:spacing w:before="120" w:after="0" w:line="240" w:lineRule="auto"/>
        <w:rPr>
          <w:rFonts w:ascii="Arial" w:eastAsia="Times New Roman" w:hAnsi="Arial" w:cs="Arial"/>
          <w:kern w:val="0"/>
          <w:szCs w:val="20"/>
          <w14:ligatures w14:val="none"/>
        </w:rPr>
      </w:pPr>
    </w:p>
    <w:p w14:paraId="1C138D17"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35185C5C" w14:textId="77777777" w:rsidR="00D06A62" w:rsidRPr="00D06A62" w:rsidRDefault="00D06A62" w:rsidP="00D06A62">
      <w:pPr>
        <w:spacing w:before="120" w:after="120" w:line="240" w:lineRule="auto"/>
        <w:rPr>
          <w:rFonts w:ascii="Arial" w:eastAsia="Times New Roman" w:hAnsi="Arial" w:cs="Arial"/>
          <w:kern w:val="0"/>
          <w:szCs w:val="20"/>
          <w14:ligatures w14:val="none"/>
        </w:rPr>
      </w:pPr>
    </w:p>
    <w:p w14:paraId="005A8A7B" w14:textId="77777777" w:rsidR="009956AB" w:rsidRDefault="009956AB"/>
    <w:sectPr w:rsidR="00995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BBC"/>
    <w:multiLevelType w:val="multilevel"/>
    <w:tmpl w:val="70BAFED4"/>
    <w:lvl w:ilvl="0">
      <w:start w:val="1"/>
      <w:numFmt w:val="decimal"/>
      <w:lvlText w:val="E-%1"/>
      <w:lvlJc w:val="left"/>
      <w:pPr>
        <w:ind w:left="0" w:firstLine="0"/>
      </w:pPr>
      <w:rPr>
        <w:rFonts w:ascii="Arial Narrow" w:hAnsi="Arial Narrow" w:hint="default"/>
        <w:b/>
        <w:i w:val="0"/>
        <w:sz w:val="22"/>
      </w:rPr>
    </w:lvl>
    <w:lvl w:ilvl="1">
      <w:start w:val="2"/>
      <w:numFmt w:val="decimal"/>
      <w:lvlText w:val="E.%1.%2"/>
      <w:lvlJc w:val="left"/>
      <w:pPr>
        <w:ind w:left="0" w:firstLine="0"/>
      </w:pPr>
      <w:rPr>
        <w:rFonts w:ascii="Arial" w:hAnsi="Arial" w:cs="Arial" w:hint="default"/>
        <w:b/>
        <w:i w:val="0"/>
        <w:color w:val="auto"/>
        <w:sz w:val="20"/>
        <w:szCs w:val="18"/>
      </w:rPr>
    </w:lvl>
    <w:lvl w:ilvl="2">
      <w:start w:val="1"/>
      <w:numFmt w:val="decimal"/>
      <w:suff w:val="space"/>
      <w:lvlText w:val="E.%1.%2.%3"/>
      <w:lvlJc w:val="left"/>
      <w:pPr>
        <w:ind w:left="720" w:firstLine="0"/>
      </w:pPr>
      <w:rPr>
        <w:rFonts w:ascii="Arial" w:hAnsi="Arial" w:cs="Arial" w:hint="default"/>
        <w:b/>
        <w:i w:val="0"/>
        <w:sz w:val="20"/>
        <w:szCs w:val="18"/>
      </w:rPr>
    </w:lvl>
    <w:lvl w:ilvl="3">
      <w:start w:val="1"/>
      <w:numFmt w:val="decimal"/>
      <w:suff w:val="space"/>
      <w:lvlText w:val="E.%1.%2.%3.%4"/>
      <w:lvlJc w:val="left"/>
      <w:pPr>
        <w:ind w:left="1080" w:firstLine="0"/>
      </w:pPr>
      <w:rPr>
        <w:rFonts w:ascii="Arial" w:hAnsi="Arial" w:hint="default"/>
        <w:b/>
        <w:i w:val="0"/>
        <w:sz w:val="20"/>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abstractNum w:abstractNumId="1" w15:restartNumberingAfterBreak="0">
    <w:nsid w:val="6DF77773"/>
    <w:multiLevelType w:val="multilevel"/>
    <w:tmpl w:val="51721240"/>
    <w:lvl w:ilvl="0">
      <w:start w:val="1"/>
      <w:numFmt w:val="decimal"/>
      <w:lvlText w:val="E.%1"/>
      <w:lvlJc w:val="left"/>
      <w:pPr>
        <w:tabs>
          <w:tab w:val="num" w:pos="554"/>
        </w:tabs>
        <w:ind w:left="540" w:hanging="540"/>
      </w:pPr>
      <w:rPr>
        <w:rFonts w:ascii="Arial" w:hAnsi="Arial" w:hint="default"/>
        <w:b/>
        <w:i w:val="0"/>
        <w:sz w:val="22"/>
      </w:rPr>
    </w:lvl>
    <w:lvl w:ilvl="1">
      <w:start w:val="1"/>
      <w:numFmt w:val="decimal"/>
      <w:lvlText w:val="E.%1.%2"/>
      <w:lvlJc w:val="left"/>
      <w:pPr>
        <w:tabs>
          <w:tab w:val="num" w:pos="720"/>
        </w:tabs>
        <w:ind w:left="720" w:hanging="720"/>
      </w:pPr>
      <w:rPr>
        <w:rFonts w:ascii="Arial" w:hAnsi="Arial" w:hint="default"/>
        <w:b/>
        <w:i w:val="0"/>
        <w:sz w:val="22"/>
      </w:rPr>
    </w:lvl>
    <w:lvl w:ilvl="2">
      <w:start w:val="1"/>
      <w:numFmt w:val="decimal"/>
      <w:lvlText w:val="E.%1.%2.%3"/>
      <w:lvlJc w:val="left"/>
      <w:pPr>
        <w:tabs>
          <w:tab w:val="num" w:pos="1080"/>
        </w:tabs>
        <w:ind w:left="1080" w:hanging="1080"/>
      </w:pPr>
      <w:rPr>
        <w:rFonts w:ascii="Arial" w:hAnsi="Arial" w:hint="default"/>
        <w:b/>
        <w:i w:val="0"/>
        <w:sz w:val="22"/>
      </w:rPr>
    </w:lvl>
    <w:lvl w:ilvl="3">
      <w:start w:val="1"/>
      <w:numFmt w:val="decimal"/>
      <w:lvlText w:val="E.%1.%2.%3.%4"/>
      <w:lvlJc w:val="left"/>
      <w:pPr>
        <w:tabs>
          <w:tab w:val="num" w:pos="1440"/>
        </w:tabs>
        <w:ind w:left="1440" w:hanging="1080"/>
      </w:pPr>
      <w:rPr>
        <w:rFonts w:ascii="Arial" w:hAnsi="Arial" w:hint="default"/>
        <w:b/>
        <w:i w:val="0"/>
        <w:sz w:val="22"/>
      </w:rPr>
    </w:lvl>
    <w:lvl w:ilvl="4">
      <w:start w:val="1"/>
      <w:numFmt w:val="decimal"/>
      <w:lvlText w:val="E.%1.%2.%3.%4.%5"/>
      <w:lvlJc w:val="left"/>
      <w:pPr>
        <w:tabs>
          <w:tab w:val="num" w:pos="2160"/>
        </w:tabs>
        <w:ind w:left="2160" w:hanging="1440"/>
      </w:pPr>
      <w:rPr>
        <w:rFonts w:ascii="Arial" w:hAnsi="Arial" w:hint="default"/>
        <w:b/>
        <w:i w:val="0"/>
        <w:sz w:val="22"/>
      </w:rPr>
    </w:lvl>
    <w:lvl w:ilvl="5">
      <w:start w:val="1"/>
      <w:numFmt w:val="decimal"/>
      <w:lvlText w:val="E.%1.%2.%3.%4.%5.%6."/>
      <w:lvlJc w:val="left"/>
      <w:pPr>
        <w:tabs>
          <w:tab w:val="num" w:pos="2880"/>
        </w:tabs>
        <w:ind w:left="2880" w:hanging="1800"/>
      </w:pPr>
      <w:rPr>
        <w:rFonts w:ascii="Arial" w:hAnsi="Arial" w:hint="default"/>
        <w:b/>
        <w:i w:val="0"/>
        <w:sz w:val="22"/>
      </w:rPr>
    </w:lvl>
    <w:lvl w:ilvl="6">
      <w:start w:val="1"/>
      <w:numFmt w:val="decimal"/>
      <w:lvlText w:val="E.%1.%2.%3.%4.%5.%6.%7."/>
      <w:lvlJc w:val="left"/>
      <w:pPr>
        <w:tabs>
          <w:tab w:val="num" w:pos="3600"/>
        </w:tabs>
        <w:ind w:left="3600" w:hanging="2160"/>
      </w:pPr>
      <w:rPr>
        <w:rFonts w:ascii="Arial" w:hAnsi="Arial" w:hint="default"/>
        <w:b/>
        <w:i w:val="0"/>
        <w:sz w:val="22"/>
      </w:rPr>
    </w:lvl>
    <w:lvl w:ilvl="7">
      <w:start w:val="1"/>
      <w:numFmt w:val="decimal"/>
      <w:lvlText w:val="E.%1.%2.%3.%4.%5.%6.%7.%8."/>
      <w:lvlJc w:val="left"/>
      <w:pPr>
        <w:ind w:left="1800" w:firstLine="0"/>
      </w:pPr>
      <w:rPr>
        <w:rFonts w:ascii="Arial" w:hAnsi="Arial" w:hint="default"/>
        <w:b/>
        <w:i w:val="0"/>
        <w:sz w:val="22"/>
      </w:rPr>
    </w:lvl>
    <w:lvl w:ilvl="8">
      <w:start w:val="1"/>
      <w:numFmt w:val="decimal"/>
      <w:lvlText w:val="E.%1.%2.%3.%4.%5.%6.%7.%8.%9."/>
      <w:lvlJc w:val="left"/>
      <w:pPr>
        <w:ind w:left="2160" w:firstLine="0"/>
      </w:pPr>
      <w:rPr>
        <w:rFonts w:ascii="Arial" w:hAnsi="Arial" w:hint="default"/>
        <w:b/>
        <w:i w:val="0"/>
        <w:sz w:val="22"/>
      </w:rPr>
    </w:lvl>
  </w:abstractNum>
  <w:num w:numId="1" w16cid:durableId="1417478536">
    <w:abstractNumId w:val="1"/>
  </w:num>
  <w:num w:numId="2" w16cid:durableId="199094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A62"/>
    <w:rsid w:val="002233EE"/>
    <w:rsid w:val="004F5DE8"/>
    <w:rsid w:val="00696E46"/>
    <w:rsid w:val="006C5B5F"/>
    <w:rsid w:val="00887FB7"/>
    <w:rsid w:val="009956AB"/>
    <w:rsid w:val="00D0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542B"/>
  <w15:chartTrackingRefBased/>
  <w15:docId w15:val="{F42FCCE2-AABB-4627-B415-568E61CE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A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A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A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A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A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A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A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A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A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A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A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A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A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A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A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A62"/>
    <w:rPr>
      <w:rFonts w:eastAsiaTheme="majorEastAsia" w:cstheme="majorBidi"/>
      <w:color w:val="272727" w:themeColor="text1" w:themeTint="D8"/>
    </w:rPr>
  </w:style>
  <w:style w:type="paragraph" w:styleId="Title">
    <w:name w:val="Title"/>
    <w:basedOn w:val="Normal"/>
    <w:next w:val="Normal"/>
    <w:link w:val="TitleChar"/>
    <w:uiPriority w:val="10"/>
    <w:qFormat/>
    <w:rsid w:val="00D06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A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A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A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A62"/>
    <w:pPr>
      <w:spacing w:before="160"/>
      <w:jc w:val="center"/>
    </w:pPr>
    <w:rPr>
      <w:i/>
      <w:iCs/>
      <w:color w:val="404040" w:themeColor="text1" w:themeTint="BF"/>
    </w:rPr>
  </w:style>
  <w:style w:type="character" w:customStyle="1" w:styleId="QuoteChar">
    <w:name w:val="Quote Char"/>
    <w:basedOn w:val="DefaultParagraphFont"/>
    <w:link w:val="Quote"/>
    <w:uiPriority w:val="29"/>
    <w:rsid w:val="00D06A62"/>
    <w:rPr>
      <w:i/>
      <w:iCs/>
      <w:color w:val="404040" w:themeColor="text1" w:themeTint="BF"/>
    </w:rPr>
  </w:style>
  <w:style w:type="paragraph" w:styleId="ListParagraph">
    <w:name w:val="List Paragraph"/>
    <w:basedOn w:val="Normal"/>
    <w:uiPriority w:val="34"/>
    <w:qFormat/>
    <w:rsid w:val="00D06A62"/>
    <w:pPr>
      <w:ind w:left="720"/>
      <w:contextualSpacing/>
    </w:pPr>
  </w:style>
  <w:style w:type="character" w:styleId="IntenseEmphasis">
    <w:name w:val="Intense Emphasis"/>
    <w:basedOn w:val="DefaultParagraphFont"/>
    <w:uiPriority w:val="21"/>
    <w:qFormat/>
    <w:rsid w:val="00D06A62"/>
    <w:rPr>
      <w:i/>
      <w:iCs/>
      <w:color w:val="0F4761" w:themeColor="accent1" w:themeShade="BF"/>
    </w:rPr>
  </w:style>
  <w:style w:type="paragraph" w:styleId="IntenseQuote">
    <w:name w:val="Intense Quote"/>
    <w:basedOn w:val="Normal"/>
    <w:next w:val="Normal"/>
    <w:link w:val="IntenseQuoteChar"/>
    <w:uiPriority w:val="30"/>
    <w:qFormat/>
    <w:rsid w:val="00D06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A62"/>
    <w:rPr>
      <w:i/>
      <w:iCs/>
      <w:color w:val="0F4761" w:themeColor="accent1" w:themeShade="BF"/>
    </w:rPr>
  </w:style>
  <w:style w:type="character" w:styleId="IntenseReference">
    <w:name w:val="Intense Reference"/>
    <w:basedOn w:val="DefaultParagraphFont"/>
    <w:uiPriority w:val="32"/>
    <w:qFormat/>
    <w:rsid w:val="00D06A62"/>
    <w:rPr>
      <w:b/>
      <w:bCs/>
      <w:smallCaps/>
      <w:color w:val="0F4761" w:themeColor="accent1" w:themeShade="BF"/>
      <w:spacing w:val="5"/>
    </w:rPr>
  </w:style>
  <w:style w:type="table" w:customStyle="1" w:styleId="Style12">
    <w:name w:val="Style12"/>
    <w:basedOn w:val="TableWeb2"/>
    <w:uiPriority w:val="99"/>
    <w:rsid w:val="00D06A62"/>
    <w:pPr>
      <w:spacing w:after="0" w:line="240" w:lineRule="auto"/>
    </w:pPr>
    <w:rPr>
      <w:kern w:val="0"/>
      <w:sz w:val="20"/>
      <w:szCs w:val="20"/>
      <w14:ligatures w14:val="none"/>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6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Christopher</dc:creator>
  <cp:keywords/>
  <dc:description/>
  <cp:lastModifiedBy>Morris, Christopher</cp:lastModifiedBy>
  <cp:revision>3</cp:revision>
  <dcterms:created xsi:type="dcterms:W3CDTF">2025-06-27T20:44:00Z</dcterms:created>
  <dcterms:modified xsi:type="dcterms:W3CDTF">2025-06-27T21:04:00Z</dcterms:modified>
</cp:coreProperties>
</file>