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81B" w14:textId="7777777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482"/>
        <w:gridCol w:w="540"/>
        <w:gridCol w:w="1170"/>
        <w:gridCol w:w="2991"/>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D300CF">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23ACAF46"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hyperlink r:id="rId8" w:history="1">
              <w:r w:rsidR="001E518B" w:rsidRPr="00561C0E">
                <w:rPr>
                  <w:rStyle w:val="Hyperlink"/>
                  <w:rFonts w:ascii="Arial" w:hAnsi="Arial" w:cs="Arial"/>
                  <w:b/>
                  <w:i/>
                  <w:color w:val="FF0000"/>
                  <w:sz w:val="16"/>
                  <w:szCs w:val="16"/>
                  <w:u w:val="none"/>
                </w:rPr>
                <w:t>Monthly CBC Invoice Review Checklist Process Reference Guide</w:t>
              </w:r>
            </w:hyperlink>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482"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D300CF">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482" w:type="dxa"/>
            <w:tcMar>
              <w:top w:w="43" w:type="dxa"/>
              <w:left w:w="72" w:type="dxa"/>
              <w:bottom w:w="43" w:type="dxa"/>
              <w:right w:w="43" w:type="dxa"/>
            </w:tcMar>
            <w:vAlign w:val="center"/>
          </w:tcPr>
          <w:p w14:paraId="30508385" w14:textId="29C4BEBC" w:rsidR="00162106" w:rsidRPr="0090570A" w:rsidRDefault="00C01FB8" w:rsidP="0090570A">
            <w:pPr>
              <w:spacing w:before="60" w:after="60"/>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4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D300CF">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482"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D300CF">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D300CF">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D300CF">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igibility Adj, OCA Summary – Pm</w:t>
            </w:r>
            <w:r w:rsidR="00FA3425">
              <w:rPr>
                <w:rFonts w:ascii="Arial" w:hAnsi="Arial" w:cs="Arial"/>
                <w:sz w:val="20"/>
                <w:szCs w:val="20"/>
              </w:rPr>
              <w:t>t and Pmt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482"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D300CF">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482"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D300CF">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482"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D300CF">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482"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D300CF">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482"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D300CF">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482"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D300CF">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482"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D300CF">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482"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0"/>
          </w:p>
        </w:tc>
        <w:tc>
          <w:tcPr>
            <w:tcW w:w="54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2"/>
          </w:p>
        </w:tc>
        <w:tc>
          <w:tcPr>
            <w:tcW w:w="2991"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D300CF">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482"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D300CF">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482"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D300CF">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482"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D300C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D300CF">
        <w:trPr>
          <w:cantSplit/>
          <w:trHeight w:val="892"/>
          <w:jc w:val="center"/>
        </w:trPr>
        <w:tc>
          <w:tcPr>
            <w:tcW w:w="5543" w:type="dxa"/>
            <w:tcBorders>
              <w:bottom w:val="single" w:sz="4" w:space="0" w:color="auto"/>
            </w:tcBorders>
          </w:tcPr>
          <w:p w14:paraId="57EEB4A8" w14:textId="0A2404B3"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9"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482"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D300CF">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482"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300C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482"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D300CF">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482"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D300C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482"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D300C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482"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D300C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D300C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482"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D300C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D300C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482"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D300C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by OCA are explained in Section B (Detailed List of Reconciling Items) of the spreadsheet;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D300C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D300CF">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482"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D300CF">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482"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D300CF">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D300CF">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300CF">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1F41BBEB" w14:textId="68DC6B7D" w:rsidR="00F440C0" w:rsidRDefault="00000000" w:rsidP="00F440C0">
            <w:pPr>
              <w:spacing w:before="60" w:after="60"/>
              <w:rPr>
                <w:rFonts w:ascii="Arial" w:hAnsi="Arial" w:cs="Arial"/>
                <w:sz w:val="20"/>
                <w:szCs w:val="20"/>
              </w:rPr>
            </w:pPr>
            <w:hyperlink r:id="rId10" w:history="1">
              <w:r w:rsidR="00E40209">
                <w:rPr>
                  <w:rStyle w:val="Hyperlink"/>
                </w:rPr>
                <w:t>Partner Compliance - Monitoring - Power BI (powerbigov.us)</w:t>
              </w:r>
            </w:hyperlink>
            <w:r w:rsidR="00E40209">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CH</w:t>
            </w:r>
            <w:r w:rsidR="00DF41AC">
              <w:rPr>
                <w:rFonts w:ascii="Arial" w:hAnsi="Arial" w:cs="Arial"/>
                <w:sz w:val="19"/>
                <w:szCs w:val="19"/>
              </w:rPr>
              <w:t>xxx</w:t>
            </w:r>
            <w:r>
              <w:rPr>
                <w:rFonts w:ascii="Arial" w:hAnsi="Arial" w:cs="Arial"/>
                <w:sz w:val="19"/>
                <w:szCs w:val="19"/>
              </w:rPr>
              <w:t xml:space="preserve"> and ETVxx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28D65B0D"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D300CF">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300CF">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D300CF">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22D502BF"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300CF">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3BE8EECE" w14:textId="77777777" w:rsidTr="00D300CF">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482"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D300CF">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D300CF">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482"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6B46FD8" w14:textId="77777777" w:rsidR="00D300CF" w:rsidRDefault="00D300CF" w:rsidP="00D300CF">
            <w:pPr>
              <w:spacing w:before="60" w:after="60"/>
              <w:jc w:val="center"/>
              <w:rPr>
                <w:sz w:val="20"/>
                <w:szCs w:val="20"/>
              </w:rPr>
            </w:pPr>
          </w:p>
          <w:p w14:paraId="053190E5" w14:textId="23FE8802"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FE2033F" w14:textId="77777777" w:rsidR="009473AF" w:rsidRDefault="009473AF" w:rsidP="00D300CF">
            <w:pPr>
              <w:spacing w:before="60" w:after="60"/>
              <w:jc w:val="center"/>
              <w:rPr>
                <w:sz w:val="20"/>
                <w:szCs w:val="20"/>
              </w:rPr>
            </w:pPr>
          </w:p>
          <w:p w14:paraId="4E14E5DA" w14:textId="77777777" w:rsidR="009473AF" w:rsidRDefault="009473AF" w:rsidP="00D300CF">
            <w:pPr>
              <w:spacing w:before="60" w:after="60"/>
              <w:jc w:val="center"/>
              <w:rPr>
                <w:sz w:val="20"/>
                <w:szCs w:val="20"/>
              </w:rPr>
            </w:pPr>
          </w:p>
          <w:p w14:paraId="5F21852A" w14:textId="77777777" w:rsidR="00D300CF" w:rsidRDefault="00D300CF" w:rsidP="00D300CF">
            <w:pPr>
              <w:spacing w:before="60" w:after="60"/>
              <w:jc w:val="center"/>
              <w:rPr>
                <w:sz w:val="20"/>
                <w:szCs w:val="20"/>
              </w:rPr>
            </w:pPr>
          </w:p>
          <w:p w14:paraId="53D6BD0B" w14:textId="77777777" w:rsidR="009473AF" w:rsidRDefault="009473AF" w:rsidP="00D300CF">
            <w:pPr>
              <w:spacing w:before="60" w:after="60"/>
              <w:jc w:val="center"/>
              <w:rPr>
                <w:sz w:val="20"/>
                <w:szCs w:val="20"/>
              </w:rPr>
            </w:pPr>
          </w:p>
          <w:p w14:paraId="7066A9A7" w14:textId="60D72A4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D42F28C" w14:textId="77777777" w:rsidR="00D300CF" w:rsidRDefault="00D300CF" w:rsidP="00D300CF">
            <w:pPr>
              <w:spacing w:before="60" w:after="60"/>
              <w:jc w:val="center"/>
              <w:rPr>
                <w:sz w:val="20"/>
                <w:szCs w:val="20"/>
              </w:rPr>
            </w:pPr>
          </w:p>
          <w:p w14:paraId="695BC936" w14:textId="03339760"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4EA8A9" w14:textId="77777777" w:rsidR="009473AF" w:rsidRDefault="009473AF" w:rsidP="00D300CF">
            <w:pPr>
              <w:spacing w:before="60" w:after="60"/>
              <w:jc w:val="center"/>
              <w:rPr>
                <w:sz w:val="20"/>
                <w:szCs w:val="20"/>
              </w:rPr>
            </w:pPr>
          </w:p>
          <w:p w14:paraId="573C17B7" w14:textId="77777777" w:rsidR="009473AF" w:rsidRDefault="009473AF" w:rsidP="00D300CF">
            <w:pPr>
              <w:spacing w:before="60" w:after="60"/>
              <w:jc w:val="center"/>
              <w:rPr>
                <w:sz w:val="20"/>
                <w:szCs w:val="20"/>
              </w:rPr>
            </w:pPr>
          </w:p>
          <w:p w14:paraId="79936DF9" w14:textId="77777777" w:rsidR="009473AF" w:rsidRDefault="009473AF" w:rsidP="00D300CF">
            <w:pPr>
              <w:spacing w:before="60" w:after="60"/>
              <w:jc w:val="center"/>
              <w:rPr>
                <w:sz w:val="20"/>
                <w:szCs w:val="20"/>
              </w:rPr>
            </w:pPr>
          </w:p>
          <w:p w14:paraId="131F4ECD" w14:textId="77777777" w:rsidR="009473AF" w:rsidRDefault="009473AF" w:rsidP="00D300CF">
            <w:pPr>
              <w:spacing w:before="60" w:after="60"/>
              <w:jc w:val="center"/>
              <w:rPr>
                <w:sz w:val="20"/>
                <w:szCs w:val="20"/>
              </w:rPr>
            </w:pPr>
          </w:p>
          <w:p w14:paraId="2D875731" w14:textId="331EC360"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2033DE" w14:textId="77777777" w:rsidR="00D300CF" w:rsidRDefault="00D300CF" w:rsidP="00D300CF">
            <w:pPr>
              <w:spacing w:before="60" w:after="60"/>
              <w:jc w:val="center"/>
              <w:rPr>
                <w:sz w:val="20"/>
                <w:szCs w:val="20"/>
              </w:rPr>
            </w:pPr>
          </w:p>
          <w:p w14:paraId="50B21797" w14:textId="3C5FD94D" w:rsidR="0062211C" w:rsidRDefault="002209BB"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496719" w14:textId="77777777" w:rsidR="009473AF" w:rsidRDefault="009473AF" w:rsidP="00D300CF">
            <w:pPr>
              <w:spacing w:before="60" w:after="60"/>
              <w:jc w:val="center"/>
              <w:rPr>
                <w:sz w:val="20"/>
                <w:szCs w:val="20"/>
              </w:rPr>
            </w:pPr>
          </w:p>
          <w:p w14:paraId="3132ABE9" w14:textId="77777777" w:rsidR="009473AF" w:rsidRDefault="009473AF" w:rsidP="00D300CF">
            <w:pPr>
              <w:spacing w:before="60" w:after="60"/>
              <w:jc w:val="center"/>
              <w:rPr>
                <w:sz w:val="20"/>
                <w:szCs w:val="20"/>
              </w:rPr>
            </w:pPr>
          </w:p>
          <w:p w14:paraId="3167D469" w14:textId="77777777" w:rsidR="009473AF" w:rsidRDefault="009473AF" w:rsidP="00D300CF">
            <w:pPr>
              <w:spacing w:before="60" w:after="60"/>
              <w:jc w:val="center"/>
              <w:rPr>
                <w:sz w:val="20"/>
                <w:szCs w:val="20"/>
              </w:rPr>
            </w:pPr>
          </w:p>
          <w:p w14:paraId="4C77DB5D" w14:textId="77777777" w:rsidR="009473AF" w:rsidRDefault="009473AF" w:rsidP="00D300CF">
            <w:pPr>
              <w:spacing w:before="60" w:after="60"/>
              <w:jc w:val="center"/>
              <w:rPr>
                <w:sz w:val="20"/>
                <w:szCs w:val="20"/>
              </w:rPr>
            </w:pPr>
          </w:p>
          <w:p w14:paraId="3C28BF74" w14:textId="2D27516F" w:rsidR="009473AF" w:rsidRDefault="009473AF" w:rsidP="00D300C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650DE" w14:paraId="62A730CB" w14:textId="77777777" w:rsidTr="00D300CF">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D82D8C">
        <w:trPr>
          <w:cantSplit/>
          <w:trHeight w:val="3511"/>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4" w:name="_Hlk78270466"/>
            <w:r w:rsidRPr="004301A2">
              <w:rPr>
                <w:rFonts w:ascii="Arial" w:hAnsi="Arial" w:cs="Arial"/>
                <w:i/>
                <w:sz w:val="22"/>
                <w:szCs w:val="22"/>
              </w:rPr>
              <w:t>{Intentionally Left Blank}</w:t>
            </w:r>
          </w:p>
        </w:tc>
      </w:tr>
      <w:bookmarkEnd w:id="4"/>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lastRenderedPageBreak/>
              <w:t>Analysis of the CBC Financial Application System</w:t>
            </w:r>
          </w:p>
        </w:tc>
      </w:tr>
      <w:tr w:rsidR="002650DE" w:rsidRPr="0090570A" w14:paraId="6CB371DF" w14:textId="77777777" w:rsidTr="00D300CF">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482"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D300CF">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D300CF">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77777777"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t>The “Programs by OCA(s) FSFN payment review can be completed by using the Tableau Monitoring Reports website, located at:</w:t>
            </w:r>
          </w:p>
          <w:p w14:paraId="5FC82BE9" w14:textId="77777777" w:rsidR="00E40209" w:rsidRDefault="00000000" w:rsidP="002650DE">
            <w:pPr>
              <w:spacing w:before="60" w:after="60"/>
              <w:jc w:val="center"/>
            </w:pPr>
            <w:hyperlink r:id="rId11" w:history="1">
              <w:r w:rsidR="00E40209">
                <w:rPr>
                  <w:rStyle w:val="Hyperlink"/>
                </w:rPr>
                <w:t>Partner Compliance - Monitoring - Power BI (powerbigov.us)</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2"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0BD069D5"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063845D0"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 EGAPE, and EGAPI</w:t>
            </w:r>
          </w:p>
          <w:p w14:paraId="3071D1D9" w14:textId="437F5BFA"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EGAPE, 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5"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5"/>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lastRenderedPageBreak/>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4E2665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F84FF9">
              <w:rPr>
                <w:rFonts w:ascii="Arial" w:hAnsi="Arial" w:cs="Arial"/>
                <w:sz w:val="20"/>
                <w:szCs w:val="20"/>
              </w:rPr>
              <w:t xml:space="preserve"> and</w:t>
            </w:r>
            <w:r>
              <w:rPr>
                <w:rFonts w:ascii="Arial" w:hAnsi="Arial" w:cs="Arial"/>
                <w:sz w:val="20"/>
                <w:szCs w:val="20"/>
              </w:rPr>
              <w:t xml:space="preserve"> ETVPS</w:t>
            </w:r>
          </w:p>
          <w:p w14:paraId="41FE04D2" w14:textId="1F393A56"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F84FF9">
              <w:rPr>
                <w:rFonts w:ascii="Arial" w:hAnsi="Arial" w:cs="Arial"/>
                <w:sz w:val="20"/>
                <w:szCs w:val="20"/>
              </w:rPr>
              <w:t xml:space="preserve"> </w:t>
            </w:r>
            <w:r w:rsidR="00F84FF9">
              <w:rPr>
                <w:rFonts w:ascii="Arial" w:hAnsi="Arial" w:cs="Arial"/>
                <w:b/>
                <w:bCs/>
                <w:sz w:val="20"/>
                <w:szCs w:val="20"/>
              </w:rPr>
              <w:t>and ETVPS</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2A9C76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Aftercare Services – CH0AT, ETVAF, SF0AT, SFSRA</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6"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6"/>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lastRenderedPageBreak/>
              <w:t xml:space="preserve">Submission for Payment </w:t>
            </w:r>
          </w:p>
        </w:tc>
      </w:tr>
      <w:tr w:rsidR="002650DE" w:rsidRPr="0090570A" w14:paraId="380EC670" w14:textId="77777777" w:rsidTr="00D300CF">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7" w:name="_Hlk18941273"/>
            <w:r w:rsidRPr="0090570A">
              <w:rPr>
                <w:rFonts w:ascii="Arial" w:hAnsi="Arial" w:cs="Arial"/>
                <w:b/>
                <w:sz w:val="20"/>
                <w:szCs w:val="20"/>
              </w:rPr>
              <w:t>Finalizing the Process</w:t>
            </w:r>
          </w:p>
        </w:tc>
        <w:tc>
          <w:tcPr>
            <w:tcW w:w="482"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7"/>
      <w:tr w:rsidR="002650DE" w14:paraId="05C5DABB" w14:textId="77777777" w:rsidTr="00D300CF">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482"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D300CF">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000000" w:rsidP="002650DE">
            <w:pPr>
              <w:spacing w:before="60" w:after="60"/>
              <w:rPr>
                <w:rFonts w:ascii="Arial" w:hAnsi="Arial" w:cs="Arial"/>
                <w:sz w:val="20"/>
                <w:szCs w:val="20"/>
                <w:u w:val="single"/>
              </w:rPr>
            </w:pPr>
            <w:hyperlink r:id="rId13" w:history="1">
              <w:r w:rsidR="002650DE"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482"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D300CF">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482"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D300CF">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482"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D300CF">
        <w:trPr>
          <w:trHeight w:val="3277"/>
          <w:jc w:val="center"/>
        </w:trPr>
        <w:tc>
          <w:tcPr>
            <w:tcW w:w="5543" w:type="dxa"/>
          </w:tcPr>
          <w:p w14:paraId="7DFF09D8" w14:textId="00409E07" w:rsidR="0028264E" w:rsidRDefault="0028264E" w:rsidP="0028264E">
            <w:pPr>
              <w:spacing w:before="60" w:after="60"/>
              <w:rPr>
                <w:rFonts w:ascii="Arial" w:hAnsi="Arial" w:cs="Arial"/>
                <w:sz w:val="20"/>
                <w:szCs w:val="20"/>
              </w:rPr>
            </w:pPr>
            <w:r>
              <w:rPr>
                <w:rFonts w:ascii="Arial" w:hAnsi="Arial" w:cs="Arial"/>
                <w:sz w:val="20"/>
                <w:szCs w:val="20"/>
              </w:rPr>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r w:rsidR="00070945" w:rsidRPr="001E753F">
              <w:rPr>
                <w:b/>
                <w:bCs/>
                <w:i/>
                <w:iCs/>
              </w:rPr>
              <w:t>P</w:t>
            </w:r>
            <w:r w:rsidR="00070945" w:rsidRPr="001E753F">
              <w:rPr>
                <w:rFonts w:ascii="Arial" w:hAnsi="Arial" w:cs="Arial"/>
                <w:b/>
                <w:bCs/>
                <w:i/>
                <w:iCs/>
                <w:sz w:val="20"/>
                <w:szCs w:val="20"/>
              </w:rPr>
              <w:t>er Appendix A, State of Florida Secured Server (DCF Shared Site) – File Transfer Process</w:t>
            </w:r>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lastRenderedPageBreak/>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482"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54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991"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D300CF">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482"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54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991"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5501D1">
        <w:trPr>
          <w:cantSplit/>
          <w:trHeight w:val="3500"/>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D300CF">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8" w:name="_Hlk18939548"/>
            <w:r>
              <w:rPr>
                <w:rFonts w:ascii="Arial" w:hAnsi="Arial" w:cs="Arial"/>
                <w:b/>
                <w:sz w:val="20"/>
                <w:szCs w:val="20"/>
              </w:rPr>
              <w:t>Action Steps</w:t>
            </w:r>
          </w:p>
        </w:tc>
        <w:tc>
          <w:tcPr>
            <w:tcW w:w="482"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8264E" w:rsidRPr="0090570A" w14:paraId="699B9E2A" w14:textId="77777777" w:rsidTr="00D300C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still remain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D300CF">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r w:rsidR="0028264E" w:rsidRPr="00AB7B78">
              <w:rPr>
                <w:rFonts w:ascii="Arial" w:hAnsi="Arial" w:cs="Arial"/>
                <w:sz w:val="20"/>
                <w:szCs w:val="20"/>
              </w:rPr>
              <w:t xml:space="preserve">are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4"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300CF">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D300CF">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D300CF">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s received and approved, these comments would still remain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D300C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9"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8F1FAEB" w14:textId="2E5F0B84" w:rsidR="0028264E" w:rsidRDefault="00000000" w:rsidP="003044FA">
            <w:pPr>
              <w:spacing w:before="60" w:after="60"/>
              <w:rPr>
                <w:rFonts w:ascii="Arial" w:hAnsi="Arial" w:cs="Arial"/>
                <w:color w:val="1369F5"/>
                <w:sz w:val="20"/>
                <w:szCs w:val="20"/>
                <w:u w:val="single"/>
              </w:rPr>
            </w:pPr>
            <w:hyperlink r:id="rId15"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0633F2A6" w14:textId="5C181467"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9"/>
      <w:tr w:rsidR="0028264E" w:rsidRPr="0090570A" w14:paraId="16676C61" w14:textId="77777777" w:rsidTr="00D300C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58C3F197" w14:textId="55E334AD" w:rsidR="0028264E" w:rsidRDefault="00000000" w:rsidP="003044FA">
            <w:pPr>
              <w:spacing w:before="60" w:after="60"/>
              <w:rPr>
                <w:rFonts w:ascii="Arial" w:hAnsi="Arial" w:cs="Arial"/>
                <w:color w:val="1369F5"/>
                <w:sz w:val="20"/>
                <w:szCs w:val="20"/>
                <w:u w:val="single"/>
              </w:rPr>
            </w:pPr>
            <w:hyperlink r:id="rId16"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D300CF">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77438AB" w14:textId="78429B9E" w:rsidR="0028264E" w:rsidRDefault="00000000" w:rsidP="003044FA">
            <w:pPr>
              <w:spacing w:before="60" w:after="60"/>
              <w:rPr>
                <w:rFonts w:ascii="Arial" w:hAnsi="Arial" w:cs="Arial"/>
                <w:color w:val="1369F5"/>
                <w:sz w:val="20"/>
                <w:szCs w:val="20"/>
                <w:u w:val="single"/>
              </w:rPr>
            </w:pPr>
            <w:hyperlink r:id="rId17"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300CF">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482"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54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991"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D300CF">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7440DFED" w14:textId="08A8C61A" w:rsidR="0028264E" w:rsidRDefault="00000000" w:rsidP="003044FA">
            <w:pPr>
              <w:spacing w:before="60" w:after="60"/>
              <w:rPr>
                <w:rFonts w:ascii="Arial" w:hAnsi="Arial" w:cs="Arial"/>
                <w:color w:val="1369F5"/>
                <w:sz w:val="20"/>
                <w:szCs w:val="20"/>
                <w:u w:val="single"/>
              </w:rPr>
            </w:pPr>
            <w:hyperlink r:id="rId18"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D300CF">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5F2EF406" w14:textId="77777777" w:rsidR="005053A7" w:rsidRPr="00A733CB" w:rsidRDefault="00000000" w:rsidP="003044FA">
            <w:pPr>
              <w:spacing w:before="60" w:after="60"/>
            </w:pPr>
            <w:hyperlink r:id="rId19" w:history="1">
              <w:r w:rsidR="005053A7" w:rsidRPr="00A733CB">
                <w:rPr>
                  <w:rStyle w:val="Hyperlink"/>
                </w:rPr>
                <w:t>Partner Compliance - Monitoring - Power BI (powerbigov.us)</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D300CF">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34E20EFD" w14:textId="77777777" w:rsidR="005053A7" w:rsidRPr="009D7732" w:rsidRDefault="00000000" w:rsidP="00E54FF0">
            <w:pPr>
              <w:spacing w:before="60" w:after="60"/>
            </w:pPr>
            <w:hyperlink r:id="rId20" w:history="1">
              <w:r w:rsidR="005053A7" w:rsidRPr="009D7732">
                <w:rPr>
                  <w:rStyle w:val="Hyperlink"/>
                </w:rPr>
                <w:t>Partner Compliance - Monitoring - Power BI (powerbigov.us)</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0"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0"/>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D300CF">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7B0B146B" w14:textId="731B450E" w:rsidR="005053A7" w:rsidRDefault="00000000" w:rsidP="005053A7">
            <w:pPr>
              <w:spacing w:before="60" w:after="60"/>
            </w:pPr>
            <w:hyperlink r:id="rId21" w:history="1">
              <w:r w:rsidR="005053A7">
                <w:rPr>
                  <w:rStyle w:val="Hyperlink"/>
                </w:rPr>
                <w:t>Partner Compliance - Monitoring - Power BI (powerbigov.us)</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482"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991"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B6685A"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pt;height:86.4pt">
            <v:imagedata r:id="rId22"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3"/>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that records revenue and expenses in the period in which they are earned or incurred regardless of whether cash is received or disbursed in that period. This is the accounting basis that generally is required to be used in order to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period of time. Similar to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is: a. equality between the totals of the credit and debit sides of an account; or,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An accounting method in which revenue and expenses are recorded in the period they are actually received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is the amount of expense charged against earnings by a company to write off the cost of a plant or machine over its useful live, giving consideration to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Earnings is a term used by the Department to describe the federal share of expenditures claimed on a federal report.  Under earnings applies to the situation in which the CBC does not expend all of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Fund balance is the difference between Assets and Liabilities within a particular fund.  It represents the amount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4"/>
      <w:headerReference w:type="default" r:id="rId25"/>
      <w:footerReference w:type="default" r:id="rId26"/>
      <w:headerReference w:type="first" r:id="rId27"/>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1736" w14:textId="77777777" w:rsidR="004E4AF8" w:rsidRDefault="004E4AF8">
      <w:r>
        <w:separator/>
      </w:r>
    </w:p>
  </w:endnote>
  <w:endnote w:type="continuationSeparator" w:id="0">
    <w:p w14:paraId="31F358B1" w14:textId="77777777" w:rsidR="004E4AF8" w:rsidRDefault="004E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4B8477A9"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C01FB8">
          <w:t>4</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FF1E" w14:textId="77777777" w:rsidR="00D82D8C" w:rsidRDefault="00D82D8C" w:rsidP="000812C9">
    <w:pPr>
      <w:pStyle w:val="Footer"/>
      <w:jc w:val="right"/>
      <w:rPr>
        <w:rStyle w:val="PageNumber"/>
      </w:rPr>
    </w:pPr>
    <w:r>
      <w:rPr>
        <w:rStyle w:val="PageNumber"/>
      </w:rPr>
      <w:t>Glossary</w:t>
    </w:r>
  </w:p>
  <w:p w14:paraId="4E46D479" w14:textId="386B24FA"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w:t>
    </w:r>
    <w:r w:rsidR="005A0A9B">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0111" w14:textId="77777777" w:rsidR="004E4AF8" w:rsidRDefault="004E4AF8">
      <w:r>
        <w:separator/>
      </w:r>
    </w:p>
  </w:footnote>
  <w:footnote w:type="continuationSeparator" w:id="0">
    <w:p w14:paraId="5CEF4E8A" w14:textId="77777777" w:rsidR="004E4AF8" w:rsidRDefault="004E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1C9"/>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3D38"/>
    <w:rsid w:val="001257BA"/>
    <w:rsid w:val="00125806"/>
    <w:rsid w:val="00125AC2"/>
    <w:rsid w:val="00130DE9"/>
    <w:rsid w:val="00135F90"/>
    <w:rsid w:val="001440B0"/>
    <w:rsid w:val="00144337"/>
    <w:rsid w:val="0015364E"/>
    <w:rsid w:val="00156841"/>
    <w:rsid w:val="001605EC"/>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E753F"/>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6517"/>
    <w:rsid w:val="002D684E"/>
    <w:rsid w:val="002E187C"/>
    <w:rsid w:val="002F028C"/>
    <w:rsid w:val="002F3382"/>
    <w:rsid w:val="002F6360"/>
    <w:rsid w:val="002F66B0"/>
    <w:rsid w:val="003044FA"/>
    <w:rsid w:val="00304F67"/>
    <w:rsid w:val="003053D5"/>
    <w:rsid w:val="00310B97"/>
    <w:rsid w:val="0032083E"/>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3582"/>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F91"/>
    <w:rsid w:val="004E2A48"/>
    <w:rsid w:val="004E4935"/>
    <w:rsid w:val="004E4AF8"/>
    <w:rsid w:val="004E6592"/>
    <w:rsid w:val="004E666F"/>
    <w:rsid w:val="004F025C"/>
    <w:rsid w:val="004F10BA"/>
    <w:rsid w:val="005021A4"/>
    <w:rsid w:val="00504EC6"/>
    <w:rsid w:val="0050502C"/>
    <w:rsid w:val="005053A7"/>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1C0E"/>
    <w:rsid w:val="00563752"/>
    <w:rsid w:val="00580B8B"/>
    <w:rsid w:val="0058175A"/>
    <w:rsid w:val="005842BA"/>
    <w:rsid w:val="005924CC"/>
    <w:rsid w:val="0059585C"/>
    <w:rsid w:val="00596DD8"/>
    <w:rsid w:val="005A0240"/>
    <w:rsid w:val="005A0A9B"/>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24BFF"/>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6685A"/>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01FB8"/>
    <w:rsid w:val="00C119B5"/>
    <w:rsid w:val="00C152DA"/>
    <w:rsid w:val="00C157EA"/>
    <w:rsid w:val="00C16FE5"/>
    <w:rsid w:val="00C20E00"/>
    <w:rsid w:val="00C24007"/>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39A2"/>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0CF"/>
    <w:rsid w:val="00D30208"/>
    <w:rsid w:val="00D33A6D"/>
    <w:rsid w:val="00D33A8B"/>
    <w:rsid w:val="00D34E2B"/>
    <w:rsid w:val="00D40CD8"/>
    <w:rsid w:val="00D516D9"/>
    <w:rsid w:val="00D52851"/>
    <w:rsid w:val="00D54535"/>
    <w:rsid w:val="00D5625E"/>
    <w:rsid w:val="00D64DB6"/>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6337"/>
    <w:rsid w:val="00F440C0"/>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child-family/child-and-family-well-being/community-based-care/cbc-fiscal-attachments" TargetMode="External"/><Relationship Id="rId13" Type="http://schemas.openxmlformats.org/officeDocument/2006/relationships/hyperlink" Target="https://facts.fldfs.com/Search/ContractualAgreement.aspx?AgencyID=600000&amp;ContractID=" TargetMode="External"/><Relationship Id="rId18" Type="http://schemas.openxmlformats.org/officeDocument/2006/relationships/hyperlink" Target="https://app.powerbigov.us/groups/me/reports/8e187b2b-2282-4fdd-a923-ea8e313068d0/ReportSection5922a80cd620b08b3502?ctid=f70dba48-b283-4c57-8831-cb411445a94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p.powerbigov.us/groups/me/reports/8e187b2b-2282-4fdd-a923-ea8e313068d0/ReportSection5922a80cd620b08b3502?ctid=f70dba48-b283-4c57-8831-cb411445a94c" TargetMode="External"/><Relationship Id="rId7" Type="http://schemas.openxmlformats.org/officeDocument/2006/relationships/endnotes" Target="endnotes.xml"/><Relationship Id="rId12" Type="http://schemas.openxmlformats.org/officeDocument/2006/relationships/hyperlink" Target="https://www.myflfamilies.com/services/child-family/child-and-family-well-being/community-based-care/cbc-fiscal-attachments" TargetMode="External"/><Relationship Id="rId17" Type="http://schemas.openxmlformats.org/officeDocument/2006/relationships/hyperlink" Target="https://app.powerbigov.us/groups/me/reports/8e187b2b-2282-4fdd-a923-ea8e313068d0/ReportSection5922a80cd620b08b3502?ctid=f70dba48-b283-4c57-8831-cb411445a94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pp.powerbigov.us/groups/me/reports/8e187b2b-2282-4fdd-a923-ea8e313068d0/ReportSection5922a80cd620b08b3502?ctid=f70dba48-b283-4c57-8831-cb411445a94c" TargetMode="External"/><Relationship Id="rId20" Type="http://schemas.openxmlformats.org/officeDocument/2006/relationships/hyperlink" Target="https://app.powerbigov.us/groups/me/reports/8e187b2b-2282-4fdd-a923-ea8e313068d0/ReportSection5922a80cd620b08b3502?ctid=f70dba48-b283-4c57-8831-cb411445a94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powerbigov.us/groups/me/reports/8e187b2b-2282-4fdd-a923-ea8e313068d0/ReportSection5922a80cd620b08b3502?ctid=f70dba48-b283-4c57-8831-cb411445a94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powerbigov.us/groups/me/reports/8e187b2b-2282-4fdd-a923-ea8e313068d0/ReportSection5922a80cd620b08b3502?ctid=f70dba48-b283-4c57-8831-cb411445a94c"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app.powerbigov.us/groups/me/reports/8e187b2b-2282-4fdd-a923-ea8e313068d0/ReportSection5922a80cd620b08b3502?ctid=f70dba48-b283-4c57-8831-cb411445a94c" TargetMode="External"/><Relationship Id="rId19" Type="http://schemas.openxmlformats.org/officeDocument/2006/relationships/hyperlink" Target="https://app.powerbigov.us/groups/me/reports/8e187b2b-2282-4fdd-a923-ea8e313068d0/ReportSection5922a80cd620b08b3502?ctid=f70dba48-b283-4c57-8831-cb411445a94c" TargetMode="External"/><Relationship Id="rId4" Type="http://schemas.openxmlformats.org/officeDocument/2006/relationships/settings" Target="settings.xml"/><Relationship Id="rId9" Type="http://schemas.openxmlformats.org/officeDocument/2006/relationships/hyperlink" Target="https://www.myflfamilies.com/services/child-family/child-and-family-well-being/community-based-care/lead-agency-information" TargetMode="External"/><Relationship Id="rId14" Type="http://schemas.openxmlformats.org/officeDocument/2006/relationships/hyperlink" Target="mailto:HQW.CFO.Fiscal.Accountability@myflfamilies.com" TargetMode="External"/><Relationship Id="rId22" Type="http://schemas.openxmlformats.org/officeDocument/2006/relationships/image" Target="media/image1.emf"/><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interview planning checklist</Template>
  <TotalTime>0</TotalTime>
  <Pages>18</Pages>
  <Words>6449</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43128</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 (July 2024)</dc:title>
  <dc:creator>user</dc:creator>
  <cp:lastModifiedBy>VanDyke, Misty N</cp:lastModifiedBy>
  <cp:revision>3</cp:revision>
  <cp:lastPrinted>2017-10-23T18:31:00Z</cp:lastPrinted>
  <dcterms:created xsi:type="dcterms:W3CDTF">2024-06-24T21:04:00Z</dcterms:created>
  <dcterms:modified xsi:type="dcterms:W3CDTF">2025-05-23T11:45:00Z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ies>
</file>